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0"/>
      </w:pPr>
    </w:p>
    <w:p>
      <w:pPr>
        <w:spacing w:after="120" w:before="1400"/>
      </w:pPr>
      <w:r>
        <w:rPr>
          <w:b/>
          <w:bCs/>
          <w:color w:val="226965"/>
          <w:spacing w:val="40"/>
          <w:sz w:val="20"/>
          <w:szCs w:val="20"/>
        </w:rPr>
        <w:t xml:space="preserve">COMPLIANCE PROGRAM</w:t>
      </w:r>
    </w:p>
    <w:p>
      <w:pPr>
        <w:pBdr>
          <w:bottom w:val="single" w:color="E6A63C" w:sz="18" w:space="12"/>
        </w:pBdr>
        <w:spacing w:after="200"/>
      </w:pPr>
      <w:sdt>
        <w:sdtPr>
          <w:rPr>
            <w:rFonts w:ascii="Cambria" w:cs="Cambria" w:eastAsia="Cambria" w:hAnsi="Cambria"/>
            <w:b/>
            <w:bCs/>
            <w:color w:val="0E6F69"/>
            <w:sz w:val="56"/>
            <w:szCs w:val="56"/>
            <w:shd w:fill="FFF4D6" w:color="auto" w:val="clear"/>
          </w:rPr>
          <w:alias w:val="Practice name"/>
          <w:tag w:val="Practice_name"/>
          <w:id w:val="1001"/>
          <w:showingPlcHdr/>
          <w:text/>
        </w:sdtPr>
        <w:sdtContent>
          <w:r>
            <w:rPr>
              <w:rFonts w:ascii="Cambria" w:cs="Cambria" w:eastAsia="Cambria" w:hAnsi="Cambria"/>
              <w:b/>
              <w:bCs/>
              <w:color w:val="0E6F69"/>
              <w:sz w:val="56"/>
              <w:szCs w:val="56"/>
              <w:shd w:fill="FFF4D6" w:color="auto" w:val="clear"/>
            </w:rPr>
            <w:t xml:space="preserve">[Practice name]</w:t>
          </w:r>
        </w:sdtContent>
      </w:sdt>
      <w:r>
        <w:rPr>
          <w:rFonts w:ascii="Cambria" w:cs="Cambria" w:eastAsia="Cambria" w:hAnsi="Cambria"/>
          <w:b/>
          <w:bCs/>
          <w:color w:val="0B2031"/>
          <w:sz w:val="56"/>
          <w:szCs w:val="56"/>
        </w:rPr>
        <w:t xml:space="preserve"> Compliance Program</w:t>
      </w:r>
    </w:p>
    <w:p>
      <w:pPr>
        <w:spacing w:after="600"/>
      </w:pPr>
      <w:r>
        <w:rPr>
          <w:color w:val="5D7380"/>
          <w:sz w:val="26"/>
          <w:szCs w:val="26"/>
        </w:rPr>
        <w:t xml:space="preserve">Policies, controls and forms for a medical practice, built on the OIG's seven elements.</w:t>
      </w:r>
    </w:p>
    <w:p>
      <w:pPr>
        <w:spacing w:after="80"/>
      </w:pPr>
      <w:r>
        <w:rPr>
          <w:b/>
          <w:bCs/>
          <w:sz w:val="22"/>
          <w:szCs w:val="22"/>
        </w:rPr>
        <w:t xml:space="preserve">Practice:</w:t>
      </w:r>
      <w:r>
        <w:rPr>
          <w:sz w:val="22"/>
          <w:szCs w:val="22"/>
        </w:rPr>
        <w:t xml:space="preserve"> </w:t>
      </w:r>
      <w:sdt>
        <w:sdtPr>
          <w:rPr>
            <w:color w:val="0E6F69"/>
            <w:sz w:val="22"/>
            <w:szCs w:val="22"/>
            <w:shd w:fill="FFF4D6" w:color="auto" w:val="clear"/>
          </w:rPr>
          <w:alias w:val="Legal name of practice"/>
          <w:tag w:val="Legal_name_of_practice"/>
          <w:id w:val="1002"/>
          <w:showingPlcHdr/>
          <w:text/>
        </w:sdtPr>
        <w:sdtContent>
          <w:r>
            <w:rPr>
              <w:color w:val="0E6F69"/>
              <w:sz w:val="22"/>
              <w:szCs w:val="22"/>
              <w:shd w:fill="FFF4D6" w:color="auto" w:val="clear"/>
            </w:rPr>
            <w:t xml:space="preserve">[Legal name of practice]</w:t>
          </w:r>
        </w:sdtContent>
      </w:sdt>
    </w:p>
    <w:p>
      <w:pPr>
        <w:spacing w:after="80"/>
      </w:pPr>
      <w:r>
        <w:rPr>
          <w:b/>
          <w:bCs/>
          <w:sz w:val="22"/>
          <w:szCs w:val="22"/>
        </w:rPr>
        <w:t xml:space="preserve">Compliance Officer:</w:t>
      </w:r>
      <w:r>
        <w:rPr>
          <w:sz w:val="22"/>
          <w:szCs w:val="22"/>
        </w:rPr>
        <w:t xml:space="preserve"> </w:t>
      </w:r>
      <w:sdt>
        <w:sdtPr>
          <w:rPr>
            <w:color w:val="0E6F69"/>
            <w:sz w:val="22"/>
            <w:szCs w:val="22"/>
            <w:shd w:fill="FFF4D6" w:color="auto" w:val="clear"/>
          </w:rPr>
          <w:alias w:val="Name and title"/>
          <w:tag w:val="Name_and_title"/>
          <w:id w:val="1003"/>
          <w:showingPlcHdr/>
          <w:text/>
        </w:sdtPr>
        <w:sdtContent>
          <w:r>
            <w:rPr>
              <w:color w:val="0E6F69"/>
              <w:sz w:val="22"/>
              <w:szCs w:val="22"/>
              <w:shd w:fill="FFF4D6" w:color="auto" w:val="clear"/>
            </w:rPr>
            <w:t xml:space="preserve">[Name and title]</w:t>
          </w:r>
        </w:sdtContent>
      </w:sdt>
    </w:p>
    <w:p>
      <w:pPr>
        <w:spacing w:after="80"/>
      </w:pPr>
      <w:r>
        <w:rPr>
          <w:b/>
          <w:bCs/>
          <w:sz w:val="22"/>
          <w:szCs w:val="22"/>
        </w:rPr>
        <w:t xml:space="preserve">Effective date:</w:t>
      </w:r>
      <w:r>
        <w:rPr>
          <w:sz w:val="22"/>
          <w:szCs w:val="22"/>
        </w:rPr>
        <w:t xml:space="preserve"> </w:t>
      </w:r>
      <w:sdt>
        <w:sdtPr>
          <w:rPr>
            <w:color w:val="0E6F69"/>
            <w:sz w:val="22"/>
            <w:szCs w:val="22"/>
            <w:shd w:fill="FFF4D6" w:color="auto" w:val="clear"/>
          </w:rPr>
          <w:alias w:val="Date"/>
          <w:tag w:val="Date"/>
          <w:id w:val="1004"/>
          <w:showingPlcHdr/>
          <w:text/>
        </w:sdtPr>
        <w:sdtContent>
          <w:r>
            <w:rPr>
              <w:color w:val="0E6F69"/>
              <w:sz w:val="22"/>
              <w:szCs w:val="22"/>
              <w:shd w:fill="FFF4D6" w:color="auto" w:val="clear"/>
            </w:rPr>
            <w:t xml:space="preserve">[Date]</w:t>
          </w:r>
        </w:sdtContent>
      </w:sdt>
      <w:r>
        <w:rPr>
          <w:sz w:val="22"/>
          <w:szCs w:val="22"/>
        </w:rPr>
        <w:t xml:space="preserve">      </w:t>
      </w:r>
      <w:r>
        <w:rPr>
          <w:b/>
          <w:bCs/>
          <w:sz w:val="22"/>
          <w:szCs w:val="22"/>
        </w:rPr>
        <w:t xml:space="preserve">Version:</w:t>
      </w:r>
      <w:r>
        <w:rPr>
          <w:sz w:val="22"/>
          <w:szCs w:val="22"/>
        </w:rPr>
        <w:t xml:space="preserve"> </w:t>
      </w:r>
      <w:sdt>
        <w:sdtPr>
          <w:rPr>
            <w:color w:val="0E6F69"/>
            <w:sz w:val="22"/>
            <w:szCs w:val="22"/>
            <w:shd w:fill="FFF4D6" w:color="auto" w:val="clear"/>
          </w:rPr>
          <w:alias w:val="1.0"/>
          <w:tag w:val="1_0"/>
          <w:id w:val="1005"/>
          <w:showingPlcHdr/>
          <w:text/>
        </w:sdtPr>
        <w:sdtContent>
          <w:r>
            <w:rPr>
              <w:color w:val="0E6F69"/>
              <w:sz w:val="22"/>
              <w:szCs w:val="22"/>
              <w:shd w:fill="FFF4D6" w:color="auto" w:val="clear"/>
            </w:rPr>
            <w:t xml:space="preserve">[1.0]</w:t>
          </w:r>
        </w:sdtContent>
      </w:sdt>
    </w:p>
    <w:p>
      <w:pPr>
        <w:spacing w:after="80"/>
      </w:pPr>
      <w:r>
        <w:rPr>
          <w:b/>
          <w:bCs/>
          <w:sz w:val="22"/>
          <w:szCs w:val="22"/>
        </w:rPr>
        <w:t xml:space="preserve">Next review:</w:t>
      </w:r>
      <w:r>
        <w:rPr>
          <w:sz w:val="22"/>
          <w:szCs w:val="22"/>
        </w:rPr>
        <w:t xml:space="preserve"> </w:t>
      </w:r>
      <w:sdt>
        <w:sdtPr>
          <w:rPr>
            <w:color w:val="0E6F69"/>
            <w:sz w:val="22"/>
            <w:szCs w:val="22"/>
            <w:shd w:fill="FFF4D6" w:color="auto" w:val="clear"/>
          </w:rPr>
          <w:alias w:val="Date, 12 months from effective date"/>
          <w:tag w:val="Date_12_months_from_effective_date"/>
          <w:id w:val="1006"/>
          <w:showingPlcHdr/>
          <w:text/>
        </w:sdtPr>
        <w:sdtContent>
          <w:r>
            <w:rPr>
              <w:color w:val="0E6F69"/>
              <w:sz w:val="22"/>
              <w:szCs w:val="22"/>
              <w:shd w:fill="FFF4D6" w:color="auto" w:val="clear"/>
            </w:rPr>
            <w:t xml:space="preserve">[Date, 12 months from effective date]</w:t>
          </w:r>
        </w:sdtContent>
      </w:sdt>
    </w:p>
    <w:p>
      <w:pPr>
        <w:spacing w:after="80"/>
      </w:pPr>
    </w:p>
    <w:p>
      <w:pPr>
        <w:spacing w:after="80"/>
      </w:pPr>
      <w:r>
        <w:rPr>
          <w:i/>
          <w:iCs/>
          <w:sz w:val="22"/>
          <w:szCs w:val="22"/>
        </w:rPr>
        <w:t xml:space="preserve">Template prepared by ProCare Services LLC · procarepr.com · info@procarepr.com</w:t>
      </w:r>
    </w:p>
    <w:p>
      <w:r>
        <w:br w:type="pag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226965" w:sz="24"/>
              <w:bottom w:val="none" w:color="FFFFFF" w:sz="0"/>
              <w:right w:val="none" w:color="FFFFFF" w:sz="0"/>
            </w:tcBorders>
            <w:shd w:fill="FDF1D8" w:color="auto" w:val="clear"/>
            <w:tcMar>
              <w:top w:type="dxa" w:w="140"/>
              <w:left w:type="dxa" w:w="200"/>
              <w:bottom w:type="dxa" w:w="120"/>
              <w:right w:type="dxa" w:w="200"/>
            </w:tcMar>
          </w:tcPr>
          <w:p>
            <w:pPr>
              <w:spacing w:after="60"/>
            </w:pPr>
            <w:r>
              <w:rPr>
                <w:b/>
                <w:bCs/>
                <w:color w:val="0B2031"/>
              </w:rPr>
              <w:t xml:space="preserve">How to fill out this template (delete this box when done)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t xml:space="preserve">Click any </w:t>
            </w:r>
            <w:r>
              <w:rPr>
                <w:b/>
                <w:bCs/>
              </w:rPr>
              <w:t xml:space="preserve">highlighted [bracketed] field</w:t>
            </w:r>
            <w:r>
              <w:t xml:space="preserve"> and type. It replaces the placeholder.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t xml:space="preserve">Click any </w:t>
            </w:r>
            <w:r>
              <w:rPr>
                <w:b/>
                <w:bCs/>
              </w:rPr>
              <w:t xml:space="preserve">☐</w:t>
            </w:r>
            <w:r>
              <w:t xml:space="preserve"> to check it.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t xml:space="preserve">Delete any policy that does not apply to your practice, and add your own where needed.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t xml:space="preserve">Built on the OIG Compliance Program Guidance for Individual and Small Group Physician Practices (65 Fed. Reg. 59434, Oct. 5, 2000) and the OIG General Compliance Program Guidance (Nov. 2023).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t xml:space="preserve">This template is not legal advice. Have a health care attorney review it before you adopt it.</w:t>
            </w:r>
          </w:p>
        </w:tc>
      </w:tr>
    </w:tbl>
    <w:p>
      <w:pPr>
        <w:spacing w:after="160"/>
      </w:pPr>
    </w:p>
    <w:p>
      <w:pPr>
        <w:pStyle w:val="Heading1"/>
      </w:pPr>
      <w:r>
        <w:t xml:space="preserve">1. Practice information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95"/>
        <w:gridCol w:w="6365"/>
      </w:tblGrid>
      <w:tr>
        <w:tc>
          <w:tcPr>
            <w:tcW w:type="dxa" w:w="299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</w:rPr>
              <w:t xml:space="preserve">Legal name / DBA</w:t>
            </w:r>
          </w:p>
        </w:tc>
        <w:tc>
          <w:tcPr>
            <w:tcW w:type="dxa" w:w="636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Legal name"/>
                <w:tag w:val="Legal_name"/>
                <w:id w:val="1007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[Legal name]</w:t>
                </w:r>
              </w:sdtContent>
            </w:sdt>
            <w:r>
              <w:t xml:space="preserve"> / </w:t>
            </w:r>
            <w:sdt>
              <w:sdtPr>
                <w:rPr>
                  <w:color w:val="0E6F69"/>
                  <w:shd w:fill="FFF4D6" w:color="auto" w:val="clear"/>
                </w:rPr>
                <w:alias w:val="DBA, if any"/>
                <w:tag w:val="DBA_if_any"/>
                <w:id w:val="1008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[DBA, if any]</w:t>
                </w:r>
              </w:sdtContent>
            </w:sdt>
          </w:p>
        </w:tc>
      </w:tr>
      <w:tr>
        <w:tc>
          <w:tcPr>
            <w:tcW w:type="dxa" w:w="299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</w:rPr>
              <w:t xml:space="preserve">Address</w:t>
            </w:r>
          </w:p>
        </w:tc>
        <w:tc>
          <w:tcPr>
            <w:tcW w:type="dxa" w:w="636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Street, city, state/territory, ZIP"/>
                <w:tag w:val="Street_city_state_territory_ZIP"/>
                <w:id w:val="1009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[Street, city, state/territory, ZIP]</w:t>
                </w:r>
              </w:sdtContent>
            </w:sdt>
          </w:p>
        </w:tc>
      </w:tr>
      <w:tr>
        <w:tc>
          <w:tcPr>
            <w:tcW w:type="dxa" w:w="299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</w:rPr>
              <w:t xml:space="preserve">Group NPI / Tax ID</w:t>
            </w:r>
          </w:p>
        </w:tc>
        <w:tc>
          <w:tcPr>
            <w:tcW w:type="dxa" w:w="636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Group NPI"/>
                <w:tag w:val="Group_NPI"/>
                <w:id w:val="1010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[Group NPI]</w:t>
                </w:r>
              </w:sdtContent>
            </w:sdt>
            <w:r>
              <w:t xml:space="preserve"> / </w:t>
            </w:r>
            <w:sdt>
              <w:sdtPr>
                <w:rPr>
                  <w:color w:val="0E6F69"/>
                  <w:shd w:fill="FFF4D6" w:color="auto" w:val="clear"/>
                </w:rPr>
                <w:alias w:val="EIN"/>
                <w:tag w:val="EIN"/>
                <w:id w:val="1011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[EIN]</w:t>
                </w:r>
              </w:sdtContent>
            </w:sdt>
          </w:p>
        </w:tc>
      </w:tr>
      <w:tr>
        <w:tc>
          <w:tcPr>
            <w:tcW w:type="dxa" w:w="299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</w:rPr>
              <w:t xml:space="preserve">Specialty / number of providers</w:t>
            </w:r>
          </w:p>
        </w:tc>
        <w:tc>
          <w:tcPr>
            <w:tcW w:type="dxa" w:w="636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Specialty"/>
                <w:tag w:val="Specialty"/>
                <w:id w:val="1012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[Specialty]</w:t>
                </w:r>
              </w:sdtContent>
            </w:sdt>
            <w:r>
              <w:t xml:space="preserve"> / </w:t>
            </w:r>
            <w:sdt>
              <w:sdtPr>
                <w:rPr>
                  <w:color w:val="0E6F69"/>
                  <w:shd w:fill="FFF4D6" w:color="auto" w:val="clear"/>
                </w:rPr>
                <w:alias w:val="Number"/>
                <w:tag w:val="Number"/>
                <w:id w:val="1013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[Number]</w:t>
                </w:r>
              </w:sdtContent>
            </w:sdt>
          </w:p>
        </w:tc>
      </w:tr>
      <w:tr>
        <w:tc>
          <w:tcPr>
            <w:tcW w:type="dxa" w:w="299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</w:rPr>
              <w:t xml:space="preserve">Payers billed</w:t>
            </w:r>
          </w:p>
        </w:tc>
        <w:tc>
          <w:tcPr>
            <w:tcW w:type="dxa" w:w="636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Medicare, Medicare Advantage plans, Medicaid, commercial"/>
                <w:tag w:val="Medicare_Medicare_Advantage_plans_Medicaid_commercial"/>
                <w:id w:val="1014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[Medicare, Medicare Advantage plans, Medicaid, commercial]</w:t>
                </w:r>
              </w:sdtContent>
            </w:sdt>
          </w:p>
        </w:tc>
      </w:tr>
      <w:tr>
        <w:tc>
          <w:tcPr>
            <w:tcW w:type="dxa" w:w="299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</w:rPr>
              <w:t xml:space="preserve">Billing done by</w:t>
            </w:r>
          </w:p>
        </w:tc>
        <w:tc>
          <w:tcPr>
            <w:tcW w:type="dxa" w:w="636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In-house staff / billing company name"/>
                <w:tag w:val="In_house_staff_billing_company_name"/>
                <w:id w:val="1015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[In-house staff / billing company name]</w:t>
                </w:r>
              </w:sdtContent>
            </w:sdt>
          </w:p>
        </w:tc>
      </w:tr>
      <w:tr>
        <w:tc>
          <w:tcPr>
            <w:tcW w:type="dxa" w:w="299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</w:rPr>
              <w:t xml:space="preserve">EHR / practice management system</w:t>
            </w:r>
          </w:p>
        </w:tc>
        <w:tc>
          <w:tcPr>
            <w:tcW w:type="dxa" w:w="636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System name"/>
                <w:tag w:val="System_name"/>
                <w:id w:val="1016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[System name]</w:t>
                </w:r>
              </w:sdtContent>
            </w:sdt>
          </w:p>
        </w:tc>
      </w:tr>
      <w:tr>
        <w:tc>
          <w:tcPr>
            <w:tcW w:type="dxa" w:w="299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</w:rPr>
              <w:t xml:space="preserve">Compliance Officer</w:t>
            </w:r>
          </w:p>
        </w:tc>
        <w:tc>
          <w:tcPr>
            <w:tcW w:type="dxa" w:w="636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Name, title, phone, email"/>
                <w:tag w:val="Name_title_phone_email"/>
                <w:id w:val="1017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[Name, title, phone, email]</w:t>
                </w:r>
              </w:sdtContent>
            </w:sdt>
          </w:p>
        </w:tc>
      </w:tr>
      <w:tr>
        <w:tc>
          <w:tcPr>
            <w:tcW w:type="dxa" w:w="299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</w:rPr>
              <w:t xml:space="preserve">Backup contact</w:t>
            </w:r>
          </w:p>
        </w:tc>
        <w:tc>
          <w:tcPr>
            <w:tcW w:type="dxa" w:w="636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Name, title"/>
                <w:tag w:val="Name_title"/>
                <w:id w:val="1018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[Name, title]</w:t>
                </w:r>
              </w:sdtContent>
            </w:sdt>
          </w:p>
        </w:tc>
      </w:tr>
    </w:tbl>
    <w:p>
      <w:pPr>
        <w:spacing w:after="160"/>
      </w:pPr>
    </w:p>
    <w:p>
      <w:pPr>
        <w:pStyle w:val="Heading1"/>
      </w:pPr>
      <w:r>
        <w:t xml:space="preserve">2. Our commitment and code of conduct</w:t>
      </w:r>
    </w:p>
    <w:p>
      <w:pPr>
        <w:spacing w:after="120" w:line="276"/>
      </w:pPr>
      <w:sdt>
        <w:sdtPr>
          <w:rPr>
            <w:color w:val="0E6F69"/>
            <w:shd w:fill="FFF4D6" w:color="auto" w:val="clear"/>
          </w:rPr>
          <w:alias w:val="Practice name"/>
          <w:tag w:val="Practice_name"/>
          <w:id w:val="1019"/>
          <w:showingPlcHdr/>
          <w:text/>
        </w:sdtPr>
        <w:sdtContent>
          <w:r>
            <w:rPr>
              <w:color w:val="0E6F69"/>
              <w:shd w:fill="FFF4D6" w:color="auto" w:val="clear"/>
            </w:rPr>
            <w:t xml:space="preserve">[Practice name]</w:t>
          </w:r>
        </w:sdtContent>
      </w:sdt>
      <w:r>
        <w:t xml:space="preserve"> is committed to billing accurately, documenting honestly and following every federal and state health care law. Every owner, provider, employee and contractor follows this code.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t xml:space="preserve">We document every service fully, at the time of the visit or as soon as possible after.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t xml:space="preserve">We bill only for services we provided, that were medically necessary and are supported by the record.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t xml:space="preserve">We never offer or accept anything of value for patient referrals.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t xml:space="preserve">We protect patient privacy under HIPAA.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t xml:space="preserve">We report concerns, and nobody here retaliates against anyone who reports in good faith.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t xml:space="preserve">We do not employ or contract with anyone excluded from federal health care programs.</w:t>
      </w:r>
    </w:p>
    <w:p>
      <w:pPr>
        <w:spacing w:after="120" w:line="276"/>
      </w:pPr>
      <w:r>
        <w:t xml:space="preserve">Signed for the practice:</w:t>
      </w:r>
    </w:p>
    <w:p>
      <w:pPr>
        <w:tabs>
          <w:tab w:val="left" w:pos="5200"/>
        </w:tabs>
        <w:spacing w:after="40" w:before="360"/>
      </w:pPr>
      <w:r>
        <w:rPr>
          <w:color w:val="5D7380"/>
        </w:rPr>
        <w:t xml:space="preserve">_______________________________</w:t>
      </w:r>
      <w:r>
        <w:rPr>
          <w:color w:val="5D7380"/>
        </w:rPr>
        <w:t xml:space="preserve">	__________________</w:t>
      </w:r>
    </w:p>
    <w:p>
      <w:pPr>
        <w:tabs>
          <w:tab w:val="left" w:pos="5200"/>
        </w:tabs>
        <w:spacing w:after="120"/>
      </w:pPr>
      <w:r>
        <w:rPr>
          <w:color w:val="5D7380"/>
          <w:sz w:val="18"/>
          <w:szCs w:val="18"/>
        </w:rPr>
        <w:t xml:space="preserve">Owner / Managing Physician</w:t>
      </w:r>
      <w:r>
        <w:rPr>
          <w:color w:val="5D7380"/>
          <w:sz w:val="18"/>
          <w:szCs w:val="18"/>
        </w:rPr>
        <w:t xml:space="preserve">	Date</w:t>
      </w:r>
    </w:p>
    <w:p>
      <w:pPr>
        <w:pStyle w:val="Heading1"/>
      </w:pPr>
      <w:r>
        <w:t xml:space="preserve">3. Compliance Officer (Element 3)</w:t>
      </w:r>
    </w:p>
    <w:p>
      <w:pPr>
        <w:spacing w:after="120" w:line="276"/>
      </w:pPr>
      <w:r>
        <w:t xml:space="preserve">A small practice may name one person, often the practice manager or a physician, or share the role. The OIG also allows outside help, such as a billing company or consultant, as long as someone inside the practice owns the program.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95"/>
        <w:gridCol w:w="6365"/>
      </w:tblGrid>
      <w:tr>
        <w:tc>
          <w:tcPr>
            <w:tcW w:type="dxa" w:w="299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</w:rPr>
              <w:t xml:space="preserve">Compliance Officer</w:t>
            </w:r>
          </w:p>
        </w:tc>
        <w:tc>
          <w:tcPr>
            <w:tcW w:type="dxa" w:w="636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Name, title"/>
                <w:tag w:val="Name_title"/>
                <w:id w:val="1020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[Name, title]</w:t>
                </w:r>
              </w:sdtContent>
            </w:sdt>
          </w:p>
        </w:tc>
      </w:tr>
      <w:tr>
        <w:tc>
          <w:tcPr>
            <w:tcW w:type="dxa" w:w="299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</w:rPr>
              <w:t xml:space="preserve">Reports to</w:t>
            </w:r>
          </w:p>
        </w:tc>
        <w:tc>
          <w:tcPr>
            <w:tcW w:type="dxa" w:w="636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Owner / managing physician"/>
                <w:tag w:val="Owner_managing_physician"/>
                <w:id w:val="1021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[Owner / managing physician]</w:t>
                </w:r>
              </w:sdtContent>
            </w:sdt>
          </w:p>
        </w:tc>
      </w:tr>
      <w:tr>
        <w:tc>
          <w:tcPr>
            <w:tcW w:type="dxa" w:w="299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</w:rPr>
              <w:t xml:space="preserve">Outside support (optional)</w:t>
            </w:r>
          </w:p>
        </w:tc>
        <w:tc>
          <w:tcPr>
            <w:tcW w:type="dxa" w:w="636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Company and contact"/>
                <w:tag w:val="Company_and_contact"/>
                <w:id w:val="1022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[Company and contact]</w:t>
                </w:r>
              </w:sdtContent>
            </w:sdt>
          </w:p>
        </w:tc>
      </w:tr>
    </w:tbl>
    <w:p>
      <w:pPr>
        <w:spacing w:after="160"/>
      </w:pPr>
    </w:p>
    <w:p>
      <w:pPr>
        <w:pStyle w:val="Heading3"/>
      </w:pPr>
      <w:r>
        <w:t xml:space="preserve">Duties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t xml:space="preserve">Keeps this program current and reviews it every year.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t xml:space="preserve">Plans training and keeps sign-in sheets (Appendix B).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t xml:space="preserve">Runs audits and monthly exclusion screening (Appendices C and D).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t xml:space="preserve">Takes and investigates reports (Appendix E).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t xml:space="preserve">Reports to the owner at least </w:t>
      </w:r>
      <w:sdt>
        <w:sdtPr>
          <w:rPr>
            <w:color w:val="0E6F69"/>
            <w:shd w:fill="FFF4D6" w:color="auto" w:val="clear"/>
          </w:rPr>
          <w:alias w:val="quarterly"/>
          <w:tag w:val="quarterly"/>
          <w:id w:val="1023"/>
          <w:showingPlcHdr/>
          <w:text/>
        </w:sdtPr>
        <w:sdtContent>
          <w:r>
            <w:rPr>
              <w:color w:val="0E6F69"/>
              <w:shd w:fill="FFF4D6" w:color="auto" w:val="clear"/>
            </w:rPr>
            <w:t xml:space="preserve">[quarterly]</w:t>
          </w:r>
        </w:sdtContent>
      </w:sdt>
      <w:r>
        <w:t xml:space="preserve">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t xml:space="preserve">Can stop a claim from going out until a question is resolved.</w:t>
      </w:r>
    </w:p>
    <w:p>
      <w:pPr>
        <w:pStyle w:val="Heading1"/>
      </w:pPr>
      <w:r>
        <w:t xml:space="preserve">4. Written policies (Element 2)</w:t>
      </w:r>
    </w:p>
    <w:p>
      <w:pPr>
        <w:spacing w:after="120" w:line="276"/>
      </w:pPr>
      <w:r>
        <w:t xml:space="preserve">The OIG names four risk areas for physician practices: coding and billing, reasonable and necessary services, documentation, and improper inducements (kickbacks and self-referrals). Check each policy your practice adopts.</w:t>
      </w:r>
    </w:p>
    <w:p>
      <w:pPr>
        <w:pStyle w:val="Heading2"/>
      </w:pPr>
      <w:r>
        <w:t xml:space="preserve">4.1 Coding and billing</w:t>
      </w:r>
    </w:p>
    <w:p>
      <w:pPr>
        <w:spacing w:after="70" w:line="264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>
        <w:t xml:space="preserve">Every claim matches the documentation: CPT/HCPCS, ICD-10-CM at the </w:t>
      </w:r>
      <w:r>
        <w:rPr>
          <w:b/>
          <w:bCs/>
        </w:rPr>
        <w:t xml:space="preserve">highest specificity</w:t>
      </w:r>
      <w:r>
        <w:t xml:space="preserve"> supported, units and modifiers.</w:t>
      </w:r>
    </w:p>
    <w:p>
      <w:pPr>
        <w:spacing w:after="70" w:line="264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>
        <w:t xml:space="preserve">No billing for services not provided, double billing, or billing non-covered services as covered.</w:t>
      </w:r>
    </w:p>
    <w:p>
      <w:pPr>
        <w:spacing w:after="70" w:line="264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>
        <w:t xml:space="preserve">No upcoding, unbundling (NCCI edits checked) or "clustering" (billing one middle E/M level for everyone).</w:t>
      </w:r>
    </w:p>
    <w:p>
      <w:pPr>
        <w:spacing w:after="70" w:line="264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>
        <w:t xml:space="preserve">Modifiers 25, 59 and X{EPSU} only when the record shows a separate, significant service.</w:t>
      </w:r>
    </w:p>
    <w:p>
      <w:pPr>
        <w:spacing w:after="70" w:line="264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>
        <w:t xml:space="preserve">Each claim is billed under the NPI of the provider who performed the service; "incident to" and split/shared rules are followed.</w:t>
      </w:r>
    </w:p>
    <w:p>
      <w:pPr>
        <w:spacing w:after="70" w:line="264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>
        <w:t xml:space="preserve">Credit balances are reviewed </w:t>
      </w:r>
      <w:sdt>
        <w:sdtPr>
          <w:rPr>
            <w:color w:val="0E6F69"/>
            <w:shd w:fill="FFF4D6" w:color="auto" w:val="clear"/>
          </w:rPr>
          <w:alias w:val="monthly"/>
          <w:tag w:val="monthly"/>
          <w:id w:val="1024"/>
          <w:showingPlcHdr/>
          <w:text/>
        </w:sdtPr>
        <w:sdtContent>
          <w:r>
            <w:rPr>
              <w:color w:val="0E6F69"/>
              <w:shd w:fill="FFF4D6" w:color="auto" w:val="clear"/>
            </w:rPr>
            <w:t xml:space="preserve">[monthly]</w:t>
          </w:r>
        </w:sdtContent>
      </w:sdt>
      <w:r>
        <w:t xml:space="preserve">; overpayments are refunded within 60 days of being identified (Section 9).</w:t>
      </w:r>
    </w:p>
    <w:p>
      <w:pPr>
        <w:spacing w:after="70" w:line="264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>
        <w:t xml:space="preserve">Copays and deductibles are collected; waived only for documented financial hardship, case by case.</w:t>
      </w:r>
    </w:p>
    <w:p>
      <w:pPr>
        <w:pStyle w:val="Heading2"/>
      </w:pPr>
      <w:r>
        <w:t xml:space="preserve">4.2 Medical necessity</w:t>
      </w:r>
    </w:p>
    <w:p>
      <w:pPr>
        <w:spacing w:after="70" w:line="264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>
        <w:t xml:space="preserve">Orders and services are supported by the diagnosis and the provider's assessment.</w:t>
      </w:r>
    </w:p>
    <w:p>
      <w:pPr>
        <w:spacing w:after="70" w:line="264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>
        <w:t xml:space="preserve">Local and National Coverage Determinations (LCDs/NCDs) are checked for tests and procedures that have them.</w:t>
      </w:r>
    </w:p>
    <w:p>
      <w:pPr>
        <w:spacing w:after="70" w:line="264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>
        <w:t xml:space="preserve">An Advance Beneficiary Notice (ABN) is given before a Medicare service likely to be denied as not necessary.</w:t>
      </w:r>
    </w:p>
    <w:p>
      <w:pPr>
        <w:pStyle w:val="Heading2"/>
      </w:pPr>
      <w:r>
        <w:t xml:space="preserve">4.3 Documentation</w:t>
      </w:r>
    </w:p>
    <w:p>
      <w:pPr>
        <w:spacing w:after="70" w:line="264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>
        <w:t xml:space="preserve">Notes are completed and signed within </w:t>
      </w:r>
      <w:sdt>
        <w:sdtPr>
          <w:rPr>
            <w:color w:val="0E6F69"/>
            <w:shd w:fill="FFF4D6" w:color="auto" w:val="clear"/>
          </w:rPr>
          <w:alias w:val="24–72 hours"/>
          <w:tag w:val="24_72_hours"/>
          <w:id w:val="1025"/>
          <w:showingPlcHdr/>
          <w:text/>
        </w:sdtPr>
        <w:sdtContent>
          <w:r>
            <w:rPr>
              <w:color w:val="0E6F69"/>
              <w:shd w:fill="FFF4D6" w:color="auto" w:val="clear"/>
            </w:rPr>
            <w:t xml:space="preserve">[24–72 hours]</w:t>
          </w:r>
        </w:sdtContent>
      </w:sdt>
      <w:r>
        <w:t xml:space="preserve"> of the visit.</w:t>
      </w:r>
    </w:p>
    <w:p>
      <w:pPr>
        <w:spacing w:after="70" w:line="264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>
        <w:t xml:space="preserve">Every note has the date, the provider's legible signature and credentials, the reason for the visit, findings, assessment and plan.</w:t>
      </w:r>
    </w:p>
    <w:p>
      <w:pPr>
        <w:spacing w:after="70" w:line="264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>
        <w:t xml:space="preserve">Copied-forward (cloned) text is reviewed and updated for each visit.</w:t>
      </w:r>
    </w:p>
    <w:p>
      <w:pPr>
        <w:spacing w:after="70" w:line="264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>
        <w:t xml:space="preserve">Late entries and amendments are dated, signed and marked as amendments; original text is never deleted.</w:t>
      </w:r>
    </w:p>
    <w:p>
      <w:pPr>
        <w:spacing w:after="70" w:line="264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>
        <w:t xml:space="preserve">Telehealth notes record the method (audio-video or audio-only), patient location and consent.</w:t>
      </w:r>
    </w:p>
    <w:p>
      <w:pPr>
        <w:pStyle w:val="Heading2"/>
      </w:pPr>
      <w:r>
        <w:t xml:space="preserve">4.4 Risk adjustment documentation (Medicare Advantage)</w:t>
      </w:r>
    </w:p>
    <w:p>
      <w:pPr>
        <w:spacing w:after="120" w:line="276"/>
      </w:pPr>
      <w:r>
        <w:t xml:space="preserve">Every chronic condition coded for risk adjustment must stand up in a RADV audit.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95"/>
        <w:gridCol w:w="6365"/>
      </w:tblGrid>
      <w:tr>
        <w:trPr>
          <w:tblHeader/>
        </w:trPr>
        <w:tc>
          <w:tcPr>
            <w:tcW w:type="dxa" w:w="299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0B203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  <w:color w:val="FFFFFF"/>
              </w:rPr>
              <w:t xml:space="preserve">Requirement</w:t>
            </w:r>
          </w:p>
        </w:tc>
        <w:tc>
          <w:tcPr>
            <w:tcW w:type="dxa" w:w="636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0B203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  <w:color w:val="FFFFFF"/>
              </w:rPr>
              <w:t xml:space="preserve">What the note must show</w:t>
            </w:r>
          </w:p>
        </w:tc>
      </w:tr>
      <w:tr>
        <w:tc>
          <w:tcPr>
            <w:tcW w:type="dxa" w:w="299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</w:rPr>
              <w:t xml:space="preserve">MEAT for every diagnosis</w:t>
            </w:r>
          </w:p>
        </w:tc>
        <w:tc>
          <w:tcPr>
            <w:tcW w:type="dxa" w:w="636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At least one of: </w:t>
            </w:r>
            <w:r>
              <w:rPr>
                <w:b/>
                <w:bCs/>
              </w:rPr>
              <w:t xml:space="preserve">M</w:t>
            </w:r>
            <w:r>
              <w:t xml:space="preserve">onitor (symptoms, progression), </w:t>
            </w:r>
            <w:r>
              <w:rPr>
                <w:b/>
                <w:bCs/>
              </w:rPr>
              <w:t xml:space="preserve">E</w:t>
            </w:r>
            <w:r>
              <w:t xml:space="preserve">valuate (test results, exam), </w:t>
            </w:r>
            <w:r>
              <w:rPr>
                <w:b/>
                <w:bCs/>
              </w:rPr>
              <w:t xml:space="preserve">A</w:t>
            </w:r>
            <w:r>
              <w:t xml:space="preserve">ssess (status, stable/worsening), </w:t>
            </w:r>
            <w:r>
              <w:rPr>
                <w:b/>
                <w:bCs/>
              </w:rPr>
              <w:t xml:space="preserve">T</w:t>
            </w:r>
            <w:r>
              <w:t xml:space="preserve">reat (meds, referral, plan)</w:t>
            </w:r>
          </w:p>
        </w:tc>
      </w:tr>
      <w:tr>
        <w:tc>
          <w:tcPr>
            <w:tcW w:type="dxa" w:w="299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</w:rPr>
              <w:t xml:space="preserve">Highest specificity ICD-10-CM</w:t>
            </w:r>
          </w:p>
        </w:tc>
        <w:tc>
          <w:tcPr>
            <w:tcW w:type="dxa" w:w="636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Type, stage, laterality, complications and links (e.g. E11.22 diabetes with CKD, plus N18.x for the CKD stage)</w:t>
            </w:r>
          </w:p>
        </w:tc>
      </w:tr>
      <w:tr>
        <w:tc>
          <w:tcPr>
            <w:tcW w:type="dxa" w:w="299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</w:rPr>
              <w:t xml:space="preserve">CMS-HCC V28 mapping</w:t>
            </w:r>
          </w:p>
        </w:tc>
        <w:tc>
          <w:tcPr>
            <w:tcW w:type="dxa" w:w="636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Codes are reviewed against the current V28 model; conditions that no longer map are documented but not relied on for risk</w:t>
            </w:r>
          </w:p>
        </w:tc>
      </w:tr>
      <w:tr>
        <w:tc>
          <w:tcPr>
            <w:tcW w:type="dxa" w:w="299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</w:rPr>
              <w:t xml:space="preserve">Face-to-face or audio-video visit</w:t>
            </w:r>
          </w:p>
        </w:tc>
        <w:tc>
          <w:tcPr>
            <w:tcW w:type="dxa" w:w="636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</w:rPr>
              <w:t xml:space="preserve">Audio-only visits do not count for risk adjustment.</w:t>
            </w:r>
            <w:r>
              <w:t xml:space="preserve"> They are flagged and kept out of risk adjustment submissions</w:t>
            </w:r>
          </w:p>
        </w:tc>
      </w:tr>
      <w:tr>
        <w:tc>
          <w:tcPr>
            <w:tcW w:type="dxa" w:w="299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</w:rPr>
              <w:t xml:space="preserve">No problem lists alone</w:t>
            </w:r>
          </w:p>
        </w:tc>
        <w:tc>
          <w:tcPr>
            <w:tcW w:type="dxa" w:w="636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A diagnosis listed only in a problem list or history, with no MEAT, is not coded</w:t>
            </w:r>
          </w:p>
        </w:tc>
      </w:tr>
      <w:tr>
        <w:tc>
          <w:tcPr>
            <w:tcW w:type="dxa" w:w="299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</w:rPr>
              <w:t xml:space="preserve">Provider attestation</w:t>
            </w:r>
          </w:p>
        </w:tc>
        <w:tc>
          <w:tcPr>
            <w:tcW w:type="dxa" w:w="636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Signed note includes the attestation below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226965" w:sz="24"/>
              <w:bottom w:val="none" w:color="FFFFFF" w:sz="0"/>
              <w:right w:val="none" w:color="FFFFFF" w:sz="0"/>
            </w:tcBorders>
            <w:shd w:fill="DCEFEB" w:color="auto" w:val="clear"/>
            <w:tcMar>
              <w:top w:type="dxa" w:w="140"/>
              <w:left w:type="dxa" w:w="200"/>
              <w:bottom w:type="dxa" w:w="120"/>
              <w:right w:type="dxa" w:w="200"/>
            </w:tcMar>
          </w:tcPr>
          <w:p>
            <w:pPr>
              <w:spacing w:after="60"/>
            </w:pPr>
            <w:r>
              <w:rPr>
                <w:b/>
                <w:bCs/>
                <w:color w:val="0B2031"/>
              </w:rPr>
              <w:t xml:space="preserve">Provider attestation language (add to note templates)</w:t>
            </w:r>
          </w:p>
          <w:p>
            <w:pPr>
              <w:spacing w:after="60" w:line="264"/>
            </w:pPr>
            <w:r>
              <w:t xml:space="preserve">"I attest that I personally performed (or directly supervised) this encounter, conducted face-to-face or by two-way audio-video telehealth. The diagnoses documented reflect conditions I monitored, evaluated, assessed and/or treated during this visit, and this record is accurate and complete to the best of my knowledge."</w:t>
            </w:r>
          </w:p>
        </w:tc>
      </w:tr>
    </w:tbl>
    <w:p>
      <w:pPr>
        <w:spacing w:after="160"/>
      </w:pPr>
    </w:p>
    <w:p>
      <w:pPr>
        <w:pStyle w:val="Heading2"/>
      </w:pPr>
      <w:r>
        <w:t xml:space="preserve">4.5 Kickbacks, self-referrals and gifts</w:t>
      </w:r>
    </w:p>
    <w:p>
      <w:pPr>
        <w:spacing w:after="70" w:line="264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>
        <w:t xml:space="preserve">No payment, gift or free service is given or accepted in exchange for referrals (Anti-Kickback Statute).</w:t>
      </w:r>
    </w:p>
    <w:p>
      <w:pPr>
        <w:spacing w:after="70" w:line="264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>
        <w:t xml:space="preserve">Physicians do not refer Medicare/Medicaid patients for designated health services to entities they have a financial relationship with unless a Stark Law exception applies.</w:t>
      </w:r>
    </w:p>
    <w:p>
      <w:pPr>
        <w:spacing w:after="70" w:line="264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>
        <w:t xml:space="preserve">Every arrangement with a referral source (leases, medical directorships, consulting) is in writing, at fair-market value, signed and reviewed by counsel.</w:t>
      </w:r>
    </w:p>
    <w:p>
      <w:pPr>
        <w:spacing w:after="70" w:line="264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>
        <w:t xml:space="preserve">Gifts to or from vendors and referral sources are limited to </w:t>
      </w:r>
      <w:sdt>
        <w:sdtPr>
          <w:rPr>
            <w:color w:val="0E6F69"/>
            <w:shd w:fill="FFF4D6" w:color="auto" w:val="clear"/>
          </w:rPr>
          <w:alias w:val="$ amount"/>
          <w:tag w:val="_amount"/>
          <w:id w:val="1026"/>
          <w:showingPlcHdr/>
          <w:text/>
        </w:sdtPr>
        <w:sdtContent>
          <w:r>
            <w:rPr>
              <w:color w:val="0E6F69"/>
              <w:shd w:fill="FFF4D6" w:color="auto" w:val="clear"/>
            </w:rPr>
            <w:t xml:space="preserve">[$ amount]</w:t>
          </w:r>
        </w:sdtContent>
      </w:sdt>
      <w:r>
        <w:t xml:space="preserve"> a year and logged.</w:t>
      </w:r>
    </w:p>
    <w:p>
      <w:pPr>
        <w:spacing w:after="70" w:line="264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>
        <w:t xml:space="preserve">Free items for patients are of nominal value only.</w:t>
      </w:r>
    </w:p>
    <w:p>
      <w:pPr>
        <w:pStyle w:val="Heading2"/>
      </w:pPr>
      <w:r>
        <w:t xml:space="preserve">4.6 HIPAA privacy and security</w:t>
      </w:r>
    </w:p>
    <w:p>
      <w:pPr>
        <w:spacing w:after="70" w:line="264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>
        <w:t xml:space="preserve">A HIPAA security risk analysis is done </w:t>
      </w:r>
      <w:sdt>
        <w:sdtPr>
          <w:rPr>
            <w:color w:val="0E6F69"/>
            <w:shd w:fill="FFF4D6" w:color="auto" w:val="clear"/>
          </w:rPr>
          <w:alias w:val="yearly"/>
          <w:tag w:val="yearly"/>
          <w:id w:val="1027"/>
          <w:showingPlcHdr/>
          <w:text/>
        </w:sdtPr>
        <w:sdtContent>
          <w:r>
            <w:rPr>
              <w:color w:val="0E6F69"/>
              <w:shd w:fill="FFF4D6" w:color="auto" w:val="clear"/>
            </w:rPr>
            <w:t xml:space="preserve">[yearly]</w:t>
          </w:r>
        </w:sdtContent>
      </w:sdt>
      <w:r>
        <w:t xml:space="preserve"> and whenever systems change.</w:t>
      </w:r>
    </w:p>
    <w:p>
      <w:pPr>
        <w:spacing w:after="70" w:line="264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>
        <w:t xml:space="preserve">A signed Business Associate Agreement is on file for every vendor that handles PHI (billing company, EHR, IT, shredding).</w:t>
      </w:r>
    </w:p>
    <w:p>
      <w:pPr>
        <w:spacing w:after="70" w:line="264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>
        <w:t xml:space="preserve">Staff use unique logins; access is removed on the last day of employment.</w:t>
      </w:r>
    </w:p>
    <w:p>
      <w:pPr>
        <w:spacing w:after="70" w:line="264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>
        <w:t xml:space="preserve">Privacy Officer: </w:t>
      </w:r>
      <w:sdt>
        <w:sdtPr>
          <w:rPr>
            <w:color w:val="0E6F69"/>
            <w:shd w:fill="FFF4D6" w:color="auto" w:val="clear"/>
          </w:rPr>
          <w:alias w:val="Name"/>
          <w:tag w:val="Name"/>
          <w:id w:val="1028"/>
          <w:showingPlcHdr/>
          <w:text/>
        </w:sdtPr>
        <w:sdtContent>
          <w:r>
            <w:rPr>
              <w:color w:val="0E6F69"/>
              <w:shd w:fill="FFF4D6" w:color="auto" w:val="clear"/>
            </w:rPr>
            <w:t xml:space="preserve">[Name]</w:t>
          </w:r>
        </w:sdtContent>
      </w:sdt>
      <w:r>
        <w:t xml:space="preserve">. Security Officer: </w:t>
      </w:r>
      <w:sdt>
        <w:sdtPr>
          <w:rPr>
            <w:color w:val="0E6F69"/>
            <w:shd w:fill="FFF4D6" w:color="auto" w:val="clear"/>
          </w:rPr>
          <w:alias w:val="Name"/>
          <w:tag w:val="Name"/>
          <w:id w:val="1029"/>
          <w:showingPlcHdr/>
          <w:text/>
        </w:sdtPr>
        <w:sdtContent>
          <w:r>
            <w:rPr>
              <w:color w:val="0E6F69"/>
              <w:shd w:fill="FFF4D6" w:color="auto" w:val="clear"/>
            </w:rPr>
            <w:t xml:space="preserve">[Name]</w:t>
          </w:r>
        </w:sdtContent>
      </w:sdt>
      <w:r>
        <w:t xml:space="preserve">.</w:t>
      </w:r>
    </w:p>
    <w:p>
      <w:pPr>
        <w:pStyle w:val="Heading2"/>
      </w:pPr>
      <w:r>
        <w:t xml:space="preserve">4.7 Record retention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31"/>
        <w:gridCol w:w="5429"/>
      </w:tblGrid>
      <w:tr>
        <w:trPr>
          <w:tblHeader/>
        </w:trPr>
        <w:tc>
          <w:tcPr>
            <w:tcW w:type="dxa" w:w="3931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0B203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  <w:color w:val="FFFFFF"/>
              </w:rPr>
              <w:t xml:space="preserve">Record</w:t>
            </w:r>
          </w:p>
        </w:tc>
        <w:tc>
          <w:tcPr>
            <w:tcW w:type="dxa" w:w="5429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0B203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  <w:color w:val="FFFFFF"/>
              </w:rPr>
              <w:t xml:space="preserve">Keep for</w:t>
            </w:r>
          </w:p>
        </w:tc>
      </w:tr>
      <w:tr>
        <w:tc>
          <w:tcPr>
            <w:tcW w:type="dxa" w:w="3931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</w:rPr>
              <w:t xml:space="preserve">Medical and billing records</w:t>
            </w:r>
          </w:p>
        </w:tc>
        <w:tc>
          <w:tcPr>
            <w:tcW w:type="dxa" w:w="5429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Your state/territory requirement"/>
                <w:tag w:val="Your_state_territory_requirement"/>
                <w:id w:val="1030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[Your state/territory requirement]</w:t>
                </w:r>
              </w:sdtContent>
            </w:sdt>
            <w:r>
              <w:t xml:space="preserve">, and at least </w:t>
            </w:r>
            <w:r>
              <w:rPr>
                <w:b/>
                <w:bCs/>
              </w:rPr>
              <w:t xml:space="preserve">10 years</w:t>
            </w:r>
            <w:r>
              <w:t xml:space="preserve"> for Medicare Advantage claims (42 CFR 422.504(d))</w:t>
            </w:r>
          </w:p>
        </w:tc>
      </w:tr>
      <w:tr>
        <w:tc>
          <w:tcPr>
            <w:tcW w:type="dxa" w:w="3931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</w:rPr>
              <w:t xml:space="preserve">Compliance records: audits, training, screening, reports</w:t>
            </w:r>
          </w:p>
        </w:tc>
        <w:tc>
          <w:tcPr>
            <w:tcW w:type="dxa" w:w="5429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10 years</w:t>
            </w:r>
          </w:p>
        </w:tc>
      </w:tr>
      <w:tr>
        <w:tc>
          <w:tcPr>
            <w:tcW w:type="dxa" w:w="3931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</w:rPr>
              <w:t xml:space="preserve">HIPAA policies, risk analyses, BAAs</w:t>
            </w:r>
          </w:p>
        </w:tc>
        <w:tc>
          <w:tcPr>
            <w:tcW w:type="dxa" w:w="5429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6 years from the later of creation or last effective date (45 CFR 164.316)</w:t>
            </w:r>
          </w:p>
        </w:tc>
      </w:tr>
    </w:tbl>
    <w:p>
      <w:pPr>
        <w:spacing w:after="160"/>
      </w:pPr>
    </w:p>
    <w:p>
      <w:pPr>
        <w:pStyle w:val="Heading1"/>
      </w:pPr>
      <w:r>
        <w:t xml:space="preserve">5. Training and education (Element 4)</w:t>
      </w:r>
    </w:p>
    <w:p>
      <w:pPr>
        <w:spacing w:after="120" w:line="276"/>
      </w:pPr>
      <w:r>
        <w:t xml:space="preserve">Everyone is trained at hire and every year after. Sign-in sheets go in Appendix B.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25"/>
        <w:gridCol w:w="2059"/>
        <w:gridCol w:w="1591"/>
        <w:gridCol w:w="1685"/>
      </w:tblGrid>
      <w:tr>
        <w:trPr>
          <w:tblHeader/>
        </w:trPr>
        <w:tc>
          <w:tcPr>
            <w:tcW w:type="dxa" w:w="402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0B203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  <w:color w:val="FFFFFF"/>
              </w:rPr>
              <w:t xml:space="preserve">Training</w:t>
            </w:r>
          </w:p>
        </w:tc>
        <w:tc>
          <w:tcPr>
            <w:tcW w:type="dxa" w:w="2059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0B203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  <w:color w:val="FFFFFF"/>
              </w:rPr>
              <w:t xml:space="preserve">Who</w:t>
            </w:r>
          </w:p>
        </w:tc>
        <w:tc>
          <w:tcPr>
            <w:tcW w:type="dxa" w:w="1591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0B203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  <w:color w:val="FFFFFF"/>
              </w:rPr>
              <w:t xml:space="preserve">When</w:t>
            </w: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0B203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  <w:color w:val="FFFFFF"/>
              </w:rPr>
              <w:t xml:space="preserve">Completed</w:t>
            </w:r>
          </w:p>
        </w:tc>
      </w:tr>
      <w:tr>
        <w:tc>
          <w:tcPr>
            <w:tcW w:type="dxa" w:w="402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This compliance program and code of conduct</w:t>
            </w:r>
          </w:p>
        </w:tc>
        <w:tc>
          <w:tcPr>
            <w:tcW w:type="dxa" w:w="2059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Everyone</w:t>
            </w:r>
          </w:p>
        </w:tc>
        <w:tc>
          <w:tcPr>
            <w:tcW w:type="dxa" w:w="1591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At hire + yearly</w:t>
            </w: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Date"/>
                <w:tag w:val="Date"/>
                <w:id w:val="1031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[Date]</w:t>
                </w:r>
              </w:sdtContent>
            </w:sdt>
          </w:p>
        </w:tc>
      </w:tr>
      <w:tr>
        <w:tc>
          <w:tcPr>
            <w:tcW w:type="dxa" w:w="402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HIPAA privacy and security</w:t>
            </w:r>
          </w:p>
        </w:tc>
        <w:tc>
          <w:tcPr>
            <w:tcW w:type="dxa" w:w="2059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Everyone</w:t>
            </w:r>
          </w:p>
        </w:tc>
        <w:tc>
          <w:tcPr>
            <w:tcW w:type="dxa" w:w="1591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At hire + yearly</w:t>
            </w: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Date"/>
                <w:tag w:val="Date"/>
                <w:id w:val="1032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[Date]</w:t>
                </w:r>
              </w:sdtContent>
            </w:sdt>
          </w:p>
        </w:tc>
      </w:tr>
      <w:tr>
        <w:tc>
          <w:tcPr>
            <w:tcW w:type="dxa" w:w="402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Coding and documentation updates (E/M, ICD-10-CM, CPT)</w:t>
            </w:r>
          </w:p>
        </w:tc>
        <w:tc>
          <w:tcPr>
            <w:tcW w:type="dxa" w:w="2059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Providers, coders, billers</w:t>
            </w:r>
          </w:p>
        </w:tc>
        <w:tc>
          <w:tcPr>
            <w:tcW w:type="dxa" w:w="1591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Yearly</w:t>
            </w: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Date"/>
                <w:tag w:val="Date"/>
                <w:id w:val="1033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[Date]</w:t>
                </w:r>
              </w:sdtContent>
            </w:sdt>
          </w:p>
        </w:tc>
      </w:tr>
      <w:tr>
        <w:tc>
          <w:tcPr>
            <w:tcW w:type="dxa" w:w="402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Risk adjustment: MEAT, V28, telehealth rules</w:t>
            </w:r>
          </w:p>
        </w:tc>
        <w:tc>
          <w:tcPr>
            <w:tcW w:type="dxa" w:w="2059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Providers, coders</w:t>
            </w:r>
          </w:p>
        </w:tc>
        <w:tc>
          <w:tcPr>
            <w:tcW w:type="dxa" w:w="1591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Yearly</w:t>
            </w: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Date"/>
                <w:tag w:val="Date"/>
                <w:id w:val="1034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[Date]</w:t>
                </w:r>
              </w:sdtContent>
            </w:sdt>
          </w:p>
        </w:tc>
      </w:tr>
      <w:tr>
        <w:tc>
          <w:tcPr>
            <w:tcW w:type="dxa" w:w="402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Fraud, waste and abuse (required by many MA plans)</w:t>
            </w:r>
          </w:p>
        </w:tc>
        <w:tc>
          <w:tcPr>
            <w:tcW w:type="dxa" w:w="2059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Everyone</w:t>
            </w:r>
          </w:p>
        </w:tc>
        <w:tc>
          <w:tcPr>
            <w:tcW w:type="dxa" w:w="1591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At hire + yearly</w:t>
            </w: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Date"/>
                <w:tag w:val="Date"/>
                <w:id w:val="1035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[Date]</w:t>
                </w:r>
              </w:sdtContent>
            </w:sdt>
          </w:p>
        </w:tc>
      </w:tr>
    </w:tbl>
    <w:p>
      <w:pPr>
        <w:spacing w:after="160"/>
      </w:pPr>
    </w:p>
    <w:p>
      <w:pPr>
        <w:pStyle w:val="Heading1"/>
      </w:pPr>
      <w:r>
        <w:t xml:space="preserve">6. Reporting concerns (Element 6)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95"/>
        <w:gridCol w:w="6365"/>
      </w:tblGrid>
      <w:tr>
        <w:tc>
          <w:tcPr>
            <w:tcW w:type="dxa" w:w="299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</w:rPr>
              <w:t xml:space="preserve">Compliance Officer</w:t>
            </w:r>
          </w:p>
        </w:tc>
        <w:tc>
          <w:tcPr>
            <w:tcW w:type="dxa" w:w="636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Name, phone, email"/>
                <w:tag w:val="Name_phone_email"/>
                <w:id w:val="1036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[Name, phone, email]</w:t>
                </w:r>
              </w:sdtContent>
            </w:sdt>
          </w:p>
        </w:tc>
      </w:tr>
      <w:tr>
        <w:tc>
          <w:tcPr>
            <w:tcW w:type="dxa" w:w="299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</w:rPr>
              <w:t xml:space="preserve">Anonymous option</w:t>
            </w:r>
          </w:p>
        </w:tc>
        <w:tc>
          <w:tcPr>
            <w:tcW w:type="dxa" w:w="636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Locked box, anonymous web form, or outside line"/>
                <w:tag w:val="Locked_box_anonymous_web_form_or_outside_line"/>
                <w:id w:val="1037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[Locked box, anonymous web form, or outside line]</w:t>
                </w:r>
              </w:sdtContent>
            </w:sdt>
          </w:p>
        </w:tc>
      </w:tr>
      <w:tr>
        <w:tc>
          <w:tcPr>
            <w:tcW w:type="dxa" w:w="299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</w:rPr>
              <w:t xml:space="preserve">HHS-OIG Hotline</w:t>
            </w:r>
          </w:p>
        </w:tc>
        <w:tc>
          <w:tcPr>
            <w:tcW w:type="dxa" w:w="636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1-800-HHS-TIPS (1-800-447-8477) · oig.hhs.gov/fraud/report-fraud</w:t>
            </w:r>
          </w:p>
        </w:tc>
      </w:tr>
    </w:tbl>
    <w:p>
      <w:pPr>
        <w:spacing w:after="160"/>
      </w:pPr>
    </w:p>
    <w:p>
      <w:pPr>
        <w:spacing w:after="120" w:line="276"/>
      </w:pPr>
      <w:r>
        <w:t xml:space="preserve">Reports are logged (Appendix E) and kept confidential. Retaliation against anyone who reports in good faith is grounds for discipline.</w:t>
      </w:r>
    </w:p>
    <w:p>
      <w:pPr>
        <w:pStyle w:val="Heading1"/>
      </w:pPr>
      <w:r>
        <w:t xml:space="preserve">7. Auditing and monitoring (Element 1)</w:t>
      </w:r>
    </w:p>
    <w:p>
      <w:pPr>
        <w:spacing w:after="120" w:line="276"/>
      </w:pPr>
      <w:r>
        <w:t xml:space="preserve">The OIG suggests reviewing at least </w:t>
      </w:r>
      <w:r>
        <w:rPr>
          <w:b/>
          <w:bCs/>
        </w:rPr>
        <w:t xml:space="preserve">5 records per federal payer, or 5–10 records per provider</w:t>
      </w:r>
      <w:r>
        <w:t xml:space="preserve">, at least once a year. Start with a baseline audit.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70"/>
        <w:gridCol w:w="2246"/>
        <w:gridCol w:w="1685"/>
        <w:gridCol w:w="2059"/>
      </w:tblGrid>
      <w:tr>
        <w:trPr>
          <w:tblHeader/>
        </w:trPr>
        <w:tc>
          <w:tcPr>
            <w:tcW w:type="dxa" w:w="337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0B203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  <w:color w:val="FFFFFF"/>
              </w:rPr>
              <w:t xml:space="preserve">Review</w:t>
            </w:r>
          </w:p>
        </w:tc>
        <w:tc>
          <w:tcPr>
            <w:tcW w:type="dxa" w:w="2246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0B203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  <w:color w:val="FFFFFF"/>
              </w:rPr>
              <w:t xml:space="preserve">Sample</w:t>
            </w: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0B203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  <w:color w:val="FFFFFF"/>
              </w:rPr>
              <w:t xml:space="preserve">How often</w:t>
            </w:r>
          </w:p>
        </w:tc>
        <w:tc>
          <w:tcPr>
            <w:tcW w:type="dxa" w:w="2059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0B203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  <w:color w:val="FFFFFF"/>
              </w:rPr>
              <w:t xml:space="preserve">Done by</w:t>
            </w:r>
          </w:p>
        </w:tc>
      </w:tr>
      <w:tr>
        <w:tc>
          <w:tcPr>
            <w:tcW w:type="dxa" w:w="337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Baseline coding and documentation audit</w:t>
            </w:r>
          </w:p>
        </w:tc>
        <w:tc>
          <w:tcPr>
            <w:tcW w:type="dxa" w:w="2246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10"/>
                <w:tag w:val="10"/>
                <w:id w:val="1038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[10]</w:t>
                </w:r>
              </w:sdtContent>
            </w:sdt>
            <w:r>
              <w:t xml:space="preserve"> records per provider</w:t>
            </w: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Once, at start</w:t>
            </w:r>
          </w:p>
        </w:tc>
        <w:tc>
          <w:tcPr>
            <w:tcW w:type="dxa" w:w="2059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Internal / outside auditor"/>
                <w:tag w:val="Internal_outside_auditor"/>
                <w:id w:val="1039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[Internal / outside auditor]</w:t>
                </w:r>
              </w:sdtContent>
            </w:sdt>
          </w:p>
        </w:tc>
      </w:tr>
      <w:tr>
        <w:tc>
          <w:tcPr>
            <w:tcW w:type="dxa" w:w="337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Coding and documentation audit</w:t>
            </w:r>
          </w:p>
        </w:tc>
        <w:tc>
          <w:tcPr>
            <w:tcW w:type="dxa" w:w="2246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5–10 records per provider</w:t>
            </w: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Yearly / quarterly"/>
                <w:tag w:val="Yearly_quarterly"/>
                <w:id w:val="1040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[Yearly / quarterly]</w:t>
                </w:r>
              </w:sdtContent>
            </w:sdt>
          </w:p>
        </w:tc>
        <w:tc>
          <w:tcPr>
            <w:tcW w:type="dxa" w:w="2059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Name or company"/>
                <w:tag w:val="Name_or_company"/>
                <w:id w:val="1041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[Name or company]</w:t>
                </w:r>
              </w:sdtContent>
            </w:sdt>
          </w:p>
        </w:tc>
      </w:tr>
      <w:tr>
        <w:tc>
          <w:tcPr>
            <w:tcW w:type="dxa" w:w="337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Risk adjustment (MEAT / V28) audit</w:t>
            </w:r>
          </w:p>
        </w:tc>
        <w:tc>
          <w:tcPr>
            <w:tcW w:type="dxa" w:w="2246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10"/>
                <w:tag w:val="10"/>
                <w:id w:val="1042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[10]</w:t>
                </w:r>
              </w:sdtContent>
            </w:sdt>
            <w:r>
              <w:t xml:space="preserve"> MA patient visits per provider</w:t>
            </w: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Yearly"/>
                <w:tag w:val="Yearly"/>
                <w:id w:val="1043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[Yearly]</w:t>
                </w:r>
              </w:sdtContent>
            </w:sdt>
          </w:p>
        </w:tc>
        <w:tc>
          <w:tcPr>
            <w:tcW w:type="dxa" w:w="2059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Name or company"/>
                <w:tag w:val="Name_or_company"/>
                <w:id w:val="1044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[Name or company]</w:t>
                </w:r>
              </w:sdtContent>
            </w:sdt>
          </w:p>
        </w:tc>
      </w:tr>
      <w:tr>
        <w:tc>
          <w:tcPr>
            <w:tcW w:type="dxa" w:w="337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Denial and credit balance review</w:t>
            </w:r>
          </w:p>
        </w:tc>
        <w:tc>
          <w:tcPr>
            <w:tcW w:type="dxa" w:w="2246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All</w:t>
            </w: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Monthly</w:t>
            </w:r>
          </w:p>
        </w:tc>
        <w:tc>
          <w:tcPr>
            <w:tcW w:type="dxa" w:w="2059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Billing lead"/>
                <w:tag w:val="Billing_lead"/>
                <w:id w:val="1045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[Billing lead]</w:t>
                </w:r>
              </w:sdtContent>
            </w:sdt>
          </w:p>
        </w:tc>
      </w:tr>
      <w:tr>
        <w:tc>
          <w:tcPr>
            <w:tcW w:type="dxa" w:w="337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Exclusion screening</w:t>
            </w:r>
          </w:p>
        </w:tc>
        <w:tc>
          <w:tcPr>
            <w:tcW w:type="dxa" w:w="2246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All staff and contractors</w:t>
            </w: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Monthly</w:t>
            </w:r>
          </w:p>
        </w:tc>
        <w:tc>
          <w:tcPr>
            <w:tcW w:type="dxa" w:w="2059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Name"/>
                <w:tag w:val="Name"/>
                <w:id w:val="1046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[Name]</w:t>
                </w:r>
              </w:sdtContent>
            </w:sdt>
          </w:p>
        </w:tc>
      </w:tr>
    </w:tbl>
    <w:p>
      <w:pPr>
        <w:spacing w:after="160"/>
      </w:pPr>
    </w:p>
    <w:p>
      <w:pPr>
        <w:spacing w:after="120" w:line="276"/>
      </w:pPr>
      <w:r>
        <w:rPr>
          <w:b/>
          <w:bCs/>
        </w:rPr>
        <w:t xml:space="preserve">Target accuracy:</w:t>
      </w:r>
      <w:r>
        <w:t xml:space="preserve"> 95%. Below that: education and a re-audit in </w:t>
      </w:r>
      <w:sdt>
        <w:sdtPr>
          <w:rPr>
            <w:color w:val="0E6F69"/>
            <w:shd w:fill="FFF4D6" w:color="auto" w:val="clear"/>
          </w:rPr>
          <w:alias w:val="30"/>
          <w:tag w:val="30"/>
          <w:id w:val="1047"/>
          <w:showingPlcHdr/>
          <w:text/>
        </w:sdtPr>
        <w:sdtContent>
          <w:r>
            <w:rPr>
              <w:color w:val="0E6F69"/>
              <w:shd w:fill="FFF4D6" w:color="auto" w:val="clear"/>
            </w:rPr>
            <w:t xml:space="preserve">[30]</w:t>
          </w:r>
        </w:sdtContent>
      </w:sdt>
      <w:r>
        <w:t xml:space="preserve"> days. Any error that caused an overpayment goes to Section 9.</w:t>
      </w:r>
    </w:p>
    <w:p>
      <w:pPr>
        <w:pStyle w:val="Heading1"/>
      </w:pPr>
      <w:r>
        <w:t xml:space="preserve">8. Discipline and exclusion screening (Element 7)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48"/>
        <w:gridCol w:w="4212"/>
      </w:tblGrid>
      <w:tr>
        <w:trPr>
          <w:tblHeader/>
        </w:trPr>
        <w:tc>
          <w:tcPr>
            <w:tcW w:type="dxa" w:w="514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0B203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  <w:color w:val="FFFFFF"/>
              </w:rPr>
              <w:t xml:space="preserve">Conduct</w:t>
            </w:r>
          </w:p>
        </w:tc>
        <w:tc>
          <w:tcPr>
            <w:tcW w:type="dxa" w:w="421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0B203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  <w:color w:val="FFFFFF"/>
              </w:rPr>
              <w:t xml:space="preserve">Response</w:t>
            </w:r>
          </w:p>
        </w:tc>
      </w:tr>
      <w:tr>
        <w:tc>
          <w:tcPr>
            <w:tcW w:type="dxa" w:w="514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Honest error</w:t>
            </w:r>
          </w:p>
        </w:tc>
        <w:tc>
          <w:tcPr>
            <w:tcW w:type="dxa" w:w="421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Education, re-audit</w:t>
            </w:r>
          </w:p>
        </w:tc>
      </w:tr>
      <w:tr>
        <w:tc>
          <w:tcPr>
            <w:tcW w:type="dxa" w:w="514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Repeated errors or missed training</w:t>
            </w:r>
          </w:p>
        </w:tc>
        <w:tc>
          <w:tcPr>
            <w:tcW w:type="dxa" w:w="421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Written warning, closer review</w:t>
            </w:r>
          </w:p>
        </w:tc>
      </w:tr>
      <w:tr>
        <w:tc>
          <w:tcPr>
            <w:tcW w:type="dxa" w:w="514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Ignoring policy</w:t>
            </w:r>
          </w:p>
        </w:tc>
        <w:tc>
          <w:tcPr>
            <w:tcW w:type="dxa" w:w="421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Final warning or suspension</w:t>
            </w:r>
          </w:p>
        </w:tc>
      </w:tr>
      <w:tr>
        <w:tc>
          <w:tcPr>
            <w:tcW w:type="dxa" w:w="514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Knowing fraud, altered records, kickbacks, PHI misuse, retaliation</w:t>
            </w:r>
          </w:p>
        </w:tc>
        <w:tc>
          <w:tcPr>
            <w:tcW w:type="dxa" w:w="421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Termination and reporting as required</w:t>
            </w:r>
          </w:p>
        </w:tc>
      </w:tr>
    </w:tbl>
    <w:p>
      <w:pPr>
        <w:spacing w:after="160"/>
      </w:pPr>
    </w:p>
    <w:p>
      <w:pPr>
        <w:spacing w:after="120" w:line="276"/>
      </w:pPr>
      <w:r>
        <w:t xml:space="preserve">Everyone, including owners and providers, is checked against the </w:t>
      </w:r>
      <w:r>
        <w:rPr>
          <w:b/>
          <w:bCs/>
        </w:rPr>
        <w:t xml:space="preserve">OIG LEIE</w:t>
      </w:r>
      <w:r>
        <w:t xml:space="preserve">, </w:t>
      </w:r>
      <w:r>
        <w:rPr>
          <w:b/>
          <w:bCs/>
        </w:rPr>
        <w:t xml:space="preserve">SAM.gov</w:t>
      </w:r>
      <w:r>
        <w:t xml:space="preserve"> and </w:t>
      </w:r>
      <w:sdt>
        <w:sdtPr>
          <w:rPr>
            <w:color w:val="0E6F69"/>
            <w:shd w:fill="FFF4D6" w:color="auto" w:val="clear"/>
          </w:rPr>
          <w:alias w:val="state/territory Medicaid exclusion list"/>
          <w:tag w:val="state_territory_Medicaid_exclusion_list"/>
          <w:id w:val="1048"/>
          <w:showingPlcHdr/>
          <w:text/>
        </w:sdtPr>
        <w:sdtContent>
          <w:r>
            <w:rPr>
              <w:color w:val="0E6F69"/>
              <w:shd w:fill="FFF4D6" w:color="auto" w:val="clear"/>
            </w:rPr>
            <w:t xml:space="preserve">[state/territory Medicaid exclusion list]</w:t>
          </w:r>
        </w:sdtContent>
      </w:sdt>
      <w:r>
        <w:t xml:space="preserve"> before hire and every month (Appendix D).</w:t>
      </w:r>
    </w:p>
    <w:p>
      <w:pPr>
        <w:pStyle w:val="Heading1"/>
      </w:pPr>
      <w:r>
        <w:t xml:space="preserve">9. Responding to problems (Element 5)</w:t>
      </w:r>
    </w:p>
    <w:p>
      <w:pPr>
        <w:pStyle w:val="ListParagraph"/>
        <w:numPr>
          <w:ilvl w:val="0"/>
          <w:numId w:val="4"/>
        </w:numPr>
        <w:spacing w:after="60" w:line="264"/>
      </w:pPr>
      <w:r>
        <w:t xml:space="preserve">Log the report and start looking into it within </w:t>
      </w:r>
      <w:sdt>
        <w:sdtPr>
          <w:rPr>
            <w:color w:val="0E6F69"/>
            <w:shd w:fill="FFF4D6" w:color="auto" w:val="clear"/>
          </w:rPr>
          <w:alias w:val="2 business days"/>
          <w:tag w:val="2_business_days"/>
          <w:id w:val="1049"/>
          <w:showingPlcHdr/>
          <w:text/>
        </w:sdtPr>
        <w:sdtContent>
          <w:r>
            <w:rPr>
              <w:color w:val="0E6F69"/>
              <w:shd w:fill="FFF4D6" w:color="auto" w:val="clear"/>
            </w:rPr>
            <w:t xml:space="preserve">[2 business days]</w:t>
          </w:r>
        </w:sdtContent>
      </w:sdt>
      <w:r>
        <w:t xml:space="preserve"> (Appendix E).</w:t>
      </w:r>
    </w:p>
    <w:p>
      <w:pPr>
        <w:pStyle w:val="ListParagraph"/>
        <w:numPr>
          <w:ilvl w:val="0"/>
          <w:numId w:val="4"/>
        </w:numPr>
        <w:spacing w:after="60" w:line="264"/>
      </w:pPr>
      <w:r>
        <w:t xml:space="preserve">Hold any affected claims. Secure the records.</w:t>
      </w:r>
    </w:p>
    <w:p>
      <w:pPr>
        <w:pStyle w:val="ListParagraph"/>
        <w:numPr>
          <w:ilvl w:val="0"/>
          <w:numId w:val="4"/>
        </w:numPr>
        <w:spacing w:after="60" w:line="264"/>
      </w:pPr>
      <w:r>
        <w:t xml:space="preserve">Find the cause and fix it: training, a template change, a new edit, discipline.</w:t>
      </w:r>
    </w:p>
    <w:p>
      <w:pPr>
        <w:pStyle w:val="ListParagraph"/>
        <w:numPr>
          <w:ilvl w:val="0"/>
          <w:numId w:val="4"/>
        </w:numPr>
        <w:spacing w:after="60" w:line="264"/>
      </w:pPr>
      <w:r>
        <w:t xml:space="preserve">If money was paid in error, </w:t>
      </w:r>
      <w:r>
        <w:rPr>
          <w:b/>
          <w:bCs/>
        </w:rPr>
        <w:t xml:space="preserve">report and return the overpayment within 60 days</w:t>
      </w:r>
      <w:r>
        <w:t xml:space="preserve"> of identifying it (42 U.S.C. 1320a-7k(d)). For Medicare Parts A and B, the clock can pause up to 180 days during a timely, good-faith investigation.</w:t>
      </w:r>
    </w:p>
    <w:p>
      <w:pPr>
        <w:pStyle w:val="ListParagraph"/>
        <w:numPr>
          <w:ilvl w:val="0"/>
          <w:numId w:val="4"/>
        </w:numPr>
        <w:spacing w:after="60" w:line="264"/>
      </w:pPr>
      <w:r>
        <w:t xml:space="preserve">If there is credible evidence of fraud, talk to a health care attorney about self-disclosure (the OIG Self-Disclosure Protocol or the CMS Voluntary Self-Referral Disclosure Protocol).</w:t>
      </w:r>
    </w:p>
    <w:p>
      <w:pPr>
        <w:pStyle w:val="ListParagraph"/>
        <w:numPr>
          <w:ilvl w:val="0"/>
          <w:numId w:val="4"/>
        </w:numPr>
        <w:spacing w:after="60" w:line="264"/>
      </w:pPr>
      <w:r>
        <w:t xml:space="preserve">Re-audit in </w:t>
      </w:r>
      <w:sdt>
        <w:sdtPr>
          <w:rPr>
            <w:color w:val="0E6F69"/>
            <w:shd w:fill="FFF4D6" w:color="auto" w:val="clear"/>
          </w:rPr>
          <w:alias w:val="30–60"/>
          <w:tag w:val="30_60"/>
          <w:id w:val="1050"/>
          <w:showingPlcHdr/>
          <w:text/>
        </w:sdtPr>
        <w:sdtContent>
          <w:r>
            <w:rPr>
              <w:color w:val="0E6F69"/>
              <w:shd w:fill="FFF4D6" w:color="auto" w:val="clear"/>
            </w:rPr>
            <w:t xml:space="preserve">[30–60]</w:t>
          </w:r>
        </w:sdtContent>
      </w:sdt>
      <w:r>
        <w:t xml:space="preserve"> days to confirm the fix worked.</w:t>
      </w:r>
    </w:p>
    <w:p>
      <w:pPr>
        <w:pStyle w:val="Heading1"/>
      </w:pPr>
      <w:r>
        <w:t xml:space="preserve">10. Annual compliance calendar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85"/>
        <w:gridCol w:w="5990"/>
        <w:gridCol w:w="1685"/>
      </w:tblGrid>
      <w:tr>
        <w:trPr>
          <w:tblHeader/>
        </w:trPr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0B203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  <w:color w:val="FFFFFF"/>
              </w:rPr>
              <w:t xml:space="preserve">When</w:t>
            </w:r>
          </w:p>
        </w:tc>
        <w:tc>
          <w:tcPr>
            <w:tcW w:type="dxa" w:w="599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0B203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0B203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</w:rPr>
              <w:t xml:space="preserve">Monthly</w:t>
            </w:r>
          </w:p>
        </w:tc>
        <w:tc>
          <w:tcPr>
            <w:tcW w:type="dxa" w:w="599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Exclusion screening · denial and credit balance review</w:t>
            </w: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Initials"/>
                <w:tag w:val="Initials"/>
                <w:id w:val="1051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[Initials]</w:t>
                </w:r>
              </w:sdtContent>
            </w:sdt>
          </w:p>
        </w:tc>
      </w:tr>
      <w:tr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</w:rPr>
              <w:t xml:space="preserve">Quarterly</w:t>
            </w:r>
          </w:p>
        </w:tc>
        <w:tc>
          <w:tcPr>
            <w:tcW w:type="dxa" w:w="599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Compliance Officer update to owner</w:t>
            </w: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Initials"/>
                <w:tag w:val="Initials"/>
                <w:id w:val="1052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[Initials]</w:t>
                </w:r>
              </w:sdtContent>
            </w:sdt>
          </w:p>
        </w:tc>
      </w:tr>
      <w:tr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b/>
                  <w:bCs/>
                  <w:color w:val="0E6F69"/>
                  <w:shd w:fill="FFF4D6" w:color="auto" w:val="clear"/>
                </w:rPr>
                <w:alias w:val="Month"/>
                <w:tag w:val="Month"/>
                <w:id w:val="1053"/>
                <w:showingPlcHdr/>
                <w:text/>
              </w:sdtPr>
              <w:sdtContent>
                <w:r>
                  <w:rPr>
                    <w:b/>
                    <w:bCs/>
                    <w:color w:val="0E6F69"/>
                    <w:shd w:fill="FFF4D6" w:color="auto" w:val="clear"/>
                  </w:rPr>
                  <w:t xml:space="preserve">[Month]</w:t>
                </w:r>
              </w:sdtContent>
            </w:sdt>
          </w:p>
        </w:tc>
        <w:tc>
          <w:tcPr>
            <w:tcW w:type="dxa" w:w="599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Coding and documentation audit</w:t>
            </w: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Initials"/>
                <w:tag w:val="Initials"/>
                <w:id w:val="1054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[Initials]</w:t>
                </w:r>
              </w:sdtContent>
            </w:sdt>
          </w:p>
        </w:tc>
      </w:tr>
      <w:tr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b/>
                  <w:bCs/>
                  <w:color w:val="0E6F69"/>
                  <w:shd w:fill="FFF4D6" w:color="auto" w:val="clear"/>
                </w:rPr>
                <w:alias w:val="Month"/>
                <w:tag w:val="Month"/>
                <w:id w:val="1055"/>
                <w:showingPlcHdr/>
                <w:text/>
              </w:sdtPr>
              <w:sdtContent>
                <w:r>
                  <w:rPr>
                    <w:b/>
                    <w:bCs/>
                    <w:color w:val="0E6F69"/>
                    <w:shd w:fill="FFF4D6" w:color="auto" w:val="clear"/>
                  </w:rPr>
                  <w:t xml:space="preserve">[Month]</w:t>
                </w:r>
              </w:sdtContent>
            </w:sdt>
          </w:p>
        </w:tc>
        <w:tc>
          <w:tcPr>
            <w:tcW w:type="dxa" w:w="599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HIPAA security risk analysis</w:t>
            </w: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Initials"/>
                <w:tag w:val="Initials"/>
                <w:id w:val="1056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[Initials]</w:t>
                </w:r>
              </w:sdtContent>
            </w:sdt>
          </w:p>
        </w:tc>
      </w:tr>
      <w:tr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</w:rPr>
              <w:t xml:space="preserve">September</w:t>
            </w:r>
          </w:p>
        </w:tc>
        <w:tc>
          <w:tcPr>
            <w:tcW w:type="dxa" w:w="599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Train on Oct 1 ICD-10-CM changes</w:t>
            </w: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Initials"/>
                <w:tag w:val="Initials"/>
                <w:id w:val="1057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[Initials]</w:t>
                </w:r>
              </w:sdtContent>
            </w:sdt>
          </w:p>
        </w:tc>
      </w:tr>
      <w:tr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</w:rPr>
              <w:t xml:space="preserve">December</w:t>
            </w:r>
          </w:p>
        </w:tc>
        <w:tc>
          <w:tcPr>
            <w:tcW w:type="dxa" w:w="599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Train on Jan 1 CPT/HCPCS and fee schedule changes</w:t>
            </w: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Initials"/>
                <w:tag w:val="Initials"/>
                <w:id w:val="1058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[Initials]</w:t>
                </w:r>
              </w:sdtContent>
            </w:sdt>
          </w:p>
        </w:tc>
      </w:tr>
      <w:tr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b/>
                  <w:bCs/>
                  <w:color w:val="0E6F69"/>
                  <w:shd w:fill="FFF4D6" w:color="auto" w:val="clear"/>
                </w:rPr>
                <w:alias w:val="Month"/>
                <w:tag w:val="Month"/>
                <w:id w:val="1059"/>
                <w:showingPlcHdr/>
                <w:text/>
              </w:sdtPr>
              <w:sdtContent>
                <w:r>
                  <w:rPr>
                    <w:b/>
                    <w:bCs/>
                    <w:color w:val="0E6F69"/>
                    <w:shd w:fill="FFF4D6" w:color="auto" w:val="clear"/>
                  </w:rPr>
                  <w:t xml:space="preserve">[Month]</w:t>
                </w:r>
              </w:sdtContent>
            </w:sdt>
          </w:p>
        </w:tc>
        <w:tc>
          <w:tcPr>
            <w:tcW w:type="dxa" w:w="599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t xml:space="preserve">Review and re-adopt this program; staff sign attestations</w:t>
            </w: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Initials"/>
                <w:tag w:val="Initials"/>
                <w:id w:val="1060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[Initials]</w:t>
                </w:r>
              </w:sdtContent>
            </w:sdt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226965" w:sz="24"/>
              <w:bottom w:val="none" w:color="FFFFFF" w:sz="0"/>
              <w:right w:val="none" w:color="FFFFFF" w:sz="0"/>
            </w:tcBorders>
            <w:shd w:fill="FDF1D8" w:color="auto" w:val="clear"/>
            <w:tcMar>
              <w:top w:type="dxa" w:w="140"/>
              <w:left w:type="dxa" w:w="200"/>
              <w:bottom w:type="dxa" w:w="120"/>
              <w:right w:type="dxa" w:w="200"/>
            </w:tcMar>
          </w:tcPr>
          <w:p>
            <w:pPr>
              <w:spacing w:after="60"/>
            </w:pPr>
            <w:r>
              <w:rPr>
                <w:b/>
                <w:bCs/>
                <w:color w:val="0B2031"/>
              </w:rPr>
              <w:t xml:space="preserve">Need help putting this in place?</w:t>
            </w:r>
          </w:p>
          <w:p>
            <w:pPr>
              <w:spacing w:after="60" w:line="264"/>
            </w:pPr>
            <w:r>
              <w:t xml:space="preserve">ProCare Services builds and runs compliance programs for medical practices: coding and documentation audits, RADV and HCC readiness, HIPAA risk analysis, exclusion screening and staff training.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b/>
                <w:bCs/>
              </w:rPr>
              <w:t xml:space="preserve">Free 2-minute audit readiness check:</w:t>
            </w:r>
            <w:r>
              <w:t xml:space="preserve"> procarepr.com/chequeo-cumplimiento-auditoria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b/>
                <w:bCs/>
              </w:rPr>
              <w:t xml:space="preserve">Talk to us:</w:t>
            </w:r>
            <w:r>
              <w:t xml:space="preserve"> compliance@procarepr.com · procarepr.com</w:t>
            </w:r>
          </w:p>
        </w:tc>
      </w:tr>
    </w:tbl>
    <w:p>
      <w:pPr>
        <w:spacing w:after="160"/>
      </w:pPr>
    </w:p>
    <w:p>
      <w:pPr>
        <w:pStyle w:val="Heading3"/>
      </w:pPr>
      <w:r>
        <w:t xml:space="preserve">Adoption</w:t>
      </w:r>
    </w:p>
    <w:p>
      <w:pPr>
        <w:spacing w:after="120" w:line="276"/>
      </w:pPr>
      <w:r>
        <w:t xml:space="preserve">Adopted by </w:t>
      </w:r>
      <w:sdt>
        <w:sdtPr>
          <w:rPr>
            <w:color w:val="0E6F69"/>
            <w:shd w:fill="FFF4D6" w:color="auto" w:val="clear"/>
          </w:rPr>
          <w:alias w:val="Practice name"/>
          <w:tag w:val="Practice_name"/>
          <w:id w:val="1061"/>
          <w:showingPlcHdr/>
          <w:text/>
        </w:sdtPr>
        <w:sdtContent>
          <w:r>
            <w:rPr>
              <w:color w:val="0E6F69"/>
              <w:shd w:fill="FFF4D6" w:color="auto" w:val="clear"/>
            </w:rPr>
            <w:t xml:space="preserve">[Practice name]</w:t>
          </w:r>
        </w:sdtContent>
      </w:sdt>
      <w:r>
        <w:t xml:space="preserve"> on </w:t>
      </w:r>
      <w:sdt>
        <w:sdtPr>
          <w:rPr>
            <w:color w:val="0E6F69"/>
            <w:shd w:fill="FFF4D6" w:color="auto" w:val="clear"/>
          </w:rPr>
          <w:alias w:val="Date"/>
          <w:tag w:val="Date"/>
          <w:id w:val="1062"/>
          <w:showingPlcHdr/>
          <w:text/>
        </w:sdtPr>
        <w:sdtContent>
          <w:r>
            <w:rPr>
              <w:color w:val="0E6F69"/>
              <w:shd w:fill="FFF4D6" w:color="auto" w:val="clear"/>
            </w:rPr>
            <w:t xml:space="preserve">[Date]</w:t>
          </w:r>
        </w:sdtContent>
      </w:sdt>
      <w:r>
        <w:t xml:space="preserve">.</w:t>
      </w:r>
    </w:p>
    <w:p>
      <w:pPr>
        <w:tabs>
          <w:tab w:val="left" w:pos="5200"/>
        </w:tabs>
        <w:spacing w:after="40" w:before="360"/>
      </w:pPr>
      <w:r>
        <w:rPr>
          <w:color w:val="5D7380"/>
        </w:rPr>
        <w:t xml:space="preserve">_______________________________</w:t>
      </w:r>
      <w:r>
        <w:rPr>
          <w:color w:val="5D7380"/>
        </w:rPr>
        <w:t xml:space="preserve">	__________________</w:t>
      </w:r>
    </w:p>
    <w:p>
      <w:pPr>
        <w:tabs>
          <w:tab w:val="left" w:pos="5200"/>
        </w:tabs>
        <w:spacing w:after="120"/>
      </w:pPr>
      <w:r>
        <w:rPr>
          <w:color w:val="5D7380"/>
          <w:sz w:val="18"/>
          <w:szCs w:val="18"/>
        </w:rPr>
        <w:t xml:space="preserve">Owner / Managing Physician</w:t>
      </w:r>
      <w:r>
        <w:rPr>
          <w:color w:val="5D7380"/>
          <w:sz w:val="18"/>
          <w:szCs w:val="18"/>
        </w:rPr>
        <w:t xml:space="preserve">	Date</w:t>
      </w:r>
    </w:p>
    <w:p>
      <w:pPr>
        <w:tabs>
          <w:tab w:val="left" w:pos="5200"/>
        </w:tabs>
        <w:spacing w:after="40" w:before="360"/>
      </w:pPr>
      <w:r>
        <w:rPr>
          <w:color w:val="5D7380"/>
        </w:rPr>
        <w:t xml:space="preserve">_______________________________</w:t>
      </w:r>
      <w:r>
        <w:rPr>
          <w:color w:val="5D7380"/>
        </w:rPr>
        <w:t xml:space="preserve">	__________________</w:t>
      </w:r>
    </w:p>
    <w:p>
      <w:pPr>
        <w:tabs>
          <w:tab w:val="left" w:pos="5200"/>
        </w:tabs>
        <w:spacing w:after="120"/>
      </w:pPr>
      <w:r>
        <w:rPr>
          <w:color w:val="5D7380"/>
          <w:sz w:val="18"/>
          <w:szCs w:val="18"/>
        </w:rPr>
        <w:t xml:space="preserve">Compliance Officer</w:t>
      </w:r>
      <w:r>
        <w:rPr>
          <w:color w:val="5D7380"/>
          <w:sz w:val="18"/>
          <w:szCs w:val="18"/>
        </w:rPr>
        <w:t xml:space="preserve">	Date</w:t>
      </w:r>
    </w:p>
    <w:p>
      <w:r>
        <w:br w:type="page"/>
      </w:r>
    </w:p>
    <w:p>
      <w:pPr>
        <w:pStyle w:val="Heading1"/>
      </w:pPr>
      <w:r>
        <w:t xml:space="preserve">Appendix A — Staff and provider attestation</w:t>
      </w:r>
    </w:p>
    <w:p>
      <w:pPr>
        <w:spacing w:after="120" w:line="276"/>
      </w:pPr>
      <w:r>
        <w:t xml:space="preserve">I have read the </w:t>
      </w:r>
      <w:sdt>
        <w:sdtPr>
          <w:rPr>
            <w:color w:val="0E6F69"/>
            <w:shd w:fill="FFF4D6" w:color="auto" w:val="clear"/>
          </w:rPr>
          <w:alias w:val="Practice name"/>
          <w:tag w:val="Practice_name"/>
          <w:id w:val="1063"/>
          <w:showingPlcHdr/>
          <w:text/>
        </w:sdtPr>
        <w:sdtContent>
          <w:r>
            <w:rPr>
              <w:color w:val="0E6F69"/>
              <w:shd w:fill="FFF4D6" w:color="auto" w:val="clear"/>
            </w:rPr>
            <w:t xml:space="preserve">[Practice name]</w:t>
          </w:r>
        </w:sdtContent>
      </w:sdt>
      <w:r>
        <w:t xml:space="preserve"> Compliance Program and Code of Conduct. I understand it and will follow it. I know how to report a concern, including anonymously, and that the practice will not retaliate against me for reporting in good faith. I am not excluded from any federal health care program and will tell the Compliance Officer at once if that changes.</w:t>
      </w:r>
    </w:p>
    <w:p>
      <w:pPr>
        <w:spacing w:after="120" w:line="276"/>
      </w:pPr>
      <w:r>
        <w:rPr>
          <w:b/>
          <w:bCs/>
        </w:rPr>
        <w:t xml:space="preserve">Name:</w:t>
      </w:r>
      <w:r>
        <w:t xml:space="preserve"> </w:t>
      </w:r>
      <w:sdt>
        <w:sdtPr>
          <w:rPr>
            <w:color w:val="0E6F69"/>
            <w:shd w:fill="FFF4D6" w:color="auto" w:val="clear"/>
          </w:rPr>
          <w:alias w:val="Full name"/>
          <w:tag w:val="Full_name"/>
          <w:id w:val="1064"/>
          <w:showingPlcHdr/>
          <w:text/>
        </w:sdtPr>
        <w:sdtContent>
          <w:r>
            <w:rPr>
              <w:color w:val="0E6F69"/>
              <w:shd w:fill="FFF4D6" w:color="auto" w:val="clear"/>
            </w:rPr>
            <w:t xml:space="preserve">[Full name]</w:t>
          </w:r>
        </w:sdtContent>
      </w:sdt>
      <w:r>
        <w:t xml:space="preserve">     </w:t>
      </w:r>
      <w:r>
        <w:rPr>
          <w:b/>
          <w:bCs/>
        </w:rPr>
        <w:t xml:space="preserve">Role:</w:t>
      </w:r>
      <w:r>
        <w:t xml:space="preserve"> </w:t>
      </w:r>
      <w:sdt>
        <w:sdtPr>
          <w:rPr>
            <w:color w:val="0E6F69"/>
            <w:shd w:fill="FFF4D6" w:color="auto" w:val="clear"/>
          </w:rPr>
          <w:alias w:val="Role"/>
          <w:tag w:val="Role"/>
          <w:id w:val="1065"/>
          <w:showingPlcHdr/>
          <w:text/>
        </w:sdtPr>
        <w:sdtContent>
          <w:r>
            <w:rPr>
              <w:color w:val="0E6F69"/>
              <w:shd w:fill="FFF4D6" w:color="auto" w:val="clear"/>
            </w:rPr>
            <w:t xml:space="preserve">[Role]</w:t>
          </w:r>
        </w:sdtContent>
      </w:sdt>
      <w:r>
        <w:t xml:space="preserve">     </w:t>
      </w:r>
      <w:r>
        <w:rPr>
          <w:b/>
          <w:bCs/>
        </w:rPr>
        <w:t xml:space="preserve">Year:</w:t>
      </w:r>
      <w:r>
        <w:t xml:space="preserve"> </w:t>
      </w:r>
      <w:sdt>
        <w:sdtPr>
          <w:rPr>
            <w:color w:val="0E6F69"/>
            <w:shd w:fill="FFF4D6" w:color="auto" w:val="clear"/>
          </w:rPr>
          <w:alias w:val="Year"/>
          <w:tag w:val="Year"/>
          <w:id w:val="1066"/>
          <w:showingPlcHdr/>
          <w:text/>
        </w:sdtPr>
        <w:sdtContent>
          <w:r>
            <w:rPr>
              <w:color w:val="0E6F69"/>
              <w:shd w:fill="FFF4D6" w:color="auto" w:val="clear"/>
            </w:rPr>
            <w:t xml:space="preserve">[Year]</w:t>
          </w:r>
        </w:sdtContent>
      </w:sdt>
    </w:p>
    <w:p>
      <w:pPr>
        <w:tabs>
          <w:tab w:val="left" w:pos="5200"/>
        </w:tabs>
        <w:spacing w:after="40" w:before="360"/>
      </w:pPr>
      <w:r>
        <w:rPr>
          <w:color w:val="5D7380"/>
        </w:rPr>
        <w:t xml:space="preserve">_______________________________</w:t>
      </w:r>
      <w:r>
        <w:rPr>
          <w:color w:val="5D7380"/>
        </w:rPr>
        <w:t xml:space="preserve">	__________________</w:t>
      </w:r>
    </w:p>
    <w:p>
      <w:pPr>
        <w:tabs>
          <w:tab w:val="left" w:pos="5200"/>
        </w:tabs>
        <w:spacing w:after="120"/>
      </w:pPr>
      <w:r>
        <w:rPr>
          <w:color w:val="5D7380"/>
          <w:sz w:val="18"/>
          <w:szCs w:val="18"/>
        </w:rPr>
        <w:t xml:space="preserve">Signature</w:t>
      </w:r>
      <w:r>
        <w:rPr>
          <w:color w:val="5D7380"/>
          <w:sz w:val="18"/>
          <w:szCs w:val="18"/>
        </w:rPr>
        <w:t xml:space="preserve">	Date</w:t>
      </w:r>
    </w:p>
    <w:p>
      <w:pPr>
        <w:pStyle w:val="Heading1"/>
      </w:pPr>
      <w:r>
        <w:t xml:space="preserve">Appendix B — Training sign-in sheet</w:t>
      </w:r>
    </w:p>
    <w:p>
      <w:pPr>
        <w:spacing w:after="120" w:line="276"/>
      </w:pPr>
      <w:r>
        <w:rPr>
          <w:b/>
          <w:bCs/>
        </w:rPr>
        <w:t xml:space="preserve">Topic:</w:t>
      </w:r>
      <w:r>
        <w:t xml:space="preserve"> </w:t>
      </w:r>
      <w:sdt>
        <w:sdtPr>
          <w:rPr>
            <w:color w:val="0E6F69"/>
            <w:shd w:fill="FFF4D6" w:color="auto" w:val="clear"/>
          </w:rPr>
          <w:alias w:val="Topic"/>
          <w:tag w:val="Topic"/>
          <w:id w:val="1067"/>
          <w:showingPlcHdr/>
          <w:text/>
        </w:sdtPr>
        <w:sdtContent>
          <w:r>
            <w:rPr>
              <w:color w:val="0E6F69"/>
              <w:shd w:fill="FFF4D6" w:color="auto" w:val="clear"/>
            </w:rPr>
            <w:t xml:space="preserve">[Topic]</w:t>
          </w:r>
        </w:sdtContent>
      </w:sdt>
      <w:r>
        <w:t xml:space="preserve">     </w:t>
      </w:r>
      <w:r>
        <w:rPr>
          <w:b/>
          <w:bCs/>
        </w:rPr>
        <w:t xml:space="preserve">Date:</w:t>
      </w:r>
      <w:r>
        <w:t xml:space="preserve"> </w:t>
      </w:r>
      <w:sdt>
        <w:sdtPr>
          <w:rPr>
            <w:color w:val="0E6F69"/>
            <w:shd w:fill="FFF4D6" w:color="auto" w:val="clear"/>
          </w:rPr>
          <w:alias w:val="Date"/>
          <w:tag w:val="Date"/>
          <w:id w:val="1068"/>
          <w:showingPlcHdr/>
          <w:text/>
        </w:sdtPr>
        <w:sdtContent>
          <w:r>
            <w:rPr>
              <w:color w:val="0E6F69"/>
              <w:shd w:fill="FFF4D6" w:color="auto" w:val="clear"/>
            </w:rPr>
            <w:t xml:space="preserve">[Date]</w:t>
          </w:r>
        </w:sdtContent>
      </w:sdt>
      <w:r>
        <w:t xml:space="preserve">     </w:t>
      </w:r>
      <w:r>
        <w:rPr>
          <w:b/>
          <w:bCs/>
        </w:rPr>
        <w:t xml:space="preserve">Trainer:</w:t>
      </w:r>
      <w:r>
        <w:t xml:space="preserve"> </w:t>
      </w:r>
      <w:sdt>
        <w:sdtPr>
          <w:rPr>
            <w:color w:val="0E6F69"/>
            <w:shd w:fill="FFF4D6" w:color="auto" w:val="clear"/>
          </w:rPr>
          <w:alias w:val="Name"/>
          <w:tag w:val="Name"/>
          <w:id w:val="1069"/>
          <w:showingPlcHdr/>
          <w:text/>
        </w:sdtPr>
        <w:sdtContent>
          <w:r>
            <w:rPr>
              <w:color w:val="0E6F69"/>
              <w:shd w:fill="FFF4D6" w:color="auto" w:val="clear"/>
            </w:rPr>
            <w:t xml:space="preserve">[Name]</w:t>
          </w:r>
        </w:sdtContent>
      </w:sdt>
      <w:r>
        <w:t xml:space="preserve">     </w:t>
      </w:r>
      <w:r>
        <w:rPr>
          <w:b/>
          <w:bCs/>
        </w:rPr>
        <w:t xml:space="preserve">Length:</w:t>
      </w:r>
      <w:r>
        <w:t xml:space="preserve"> </w:t>
      </w:r>
      <w:sdt>
        <w:sdtPr>
          <w:rPr>
            <w:color w:val="0E6F69"/>
            <w:shd w:fill="FFF4D6" w:color="auto" w:val="clear"/>
          </w:rPr>
          <w:alias w:val="Hours"/>
          <w:tag w:val="Hours"/>
          <w:id w:val="1070"/>
          <w:showingPlcHdr/>
          <w:text/>
        </w:sdtPr>
        <w:sdtContent>
          <w:r>
            <w:rPr>
              <w:color w:val="0E6F69"/>
              <w:shd w:fill="FFF4D6" w:color="auto" w:val="clear"/>
            </w:rPr>
            <w:t xml:space="preserve">[Hours]</w:t>
          </w:r>
        </w:sdtContent>
      </w:sdt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8"/>
        <w:gridCol w:w="1872"/>
        <w:gridCol w:w="2995"/>
        <w:gridCol w:w="1685"/>
      </w:tblGrid>
      <w:tr>
        <w:trPr>
          <w:tblHeader/>
        </w:trPr>
        <w:tc>
          <w:tcPr>
            <w:tcW w:type="dxa" w:w="280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0B203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187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0B203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299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0B203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Signature</w:t>
            </w: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0B203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</w:tr>
      <w:tr>
        <w:trPr>
          <w:trHeight w:val="400" w:hRule="atLeast"/>
        </w:trPr>
        <w:tc>
          <w:tcPr>
            <w:tcW w:type="dxa" w:w="280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87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299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trHeight w:val="400" w:hRule="atLeast"/>
        </w:trPr>
        <w:tc>
          <w:tcPr>
            <w:tcW w:type="dxa" w:w="280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87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299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trHeight w:val="400" w:hRule="atLeast"/>
        </w:trPr>
        <w:tc>
          <w:tcPr>
            <w:tcW w:type="dxa" w:w="280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87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299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trHeight w:val="400" w:hRule="atLeast"/>
        </w:trPr>
        <w:tc>
          <w:tcPr>
            <w:tcW w:type="dxa" w:w="280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87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299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trHeight w:val="400" w:hRule="atLeast"/>
        </w:trPr>
        <w:tc>
          <w:tcPr>
            <w:tcW w:type="dxa" w:w="280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87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299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trHeight w:val="400" w:hRule="atLeast"/>
        </w:trPr>
        <w:tc>
          <w:tcPr>
            <w:tcW w:type="dxa" w:w="280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87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299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trHeight w:val="400" w:hRule="atLeast"/>
        </w:trPr>
        <w:tc>
          <w:tcPr>
            <w:tcW w:type="dxa" w:w="280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87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299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trHeight w:val="400" w:hRule="atLeast"/>
        </w:trPr>
        <w:tc>
          <w:tcPr>
            <w:tcW w:type="dxa" w:w="280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87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299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trHeight w:val="400" w:hRule="atLeast"/>
        </w:trPr>
        <w:tc>
          <w:tcPr>
            <w:tcW w:type="dxa" w:w="280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87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299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trHeight w:val="400" w:hRule="atLeast"/>
        </w:trPr>
        <w:tc>
          <w:tcPr>
            <w:tcW w:type="dxa" w:w="280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87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299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trHeight w:val="400" w:hRule="atLeast"/>
        </w:trPr>
        <w:tc>
          <w:tcPr>
            <w:tcW w:type="dxa" w:w="280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87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299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trHeight w:val="400" w:hRule="atLeast"/>
        </w:trPr>
        <w:tc>
          <w:tcPr>
            <w:tcW w:type="dxa" w:w="280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87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299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</w:tbl>
    <w:p>
      <w:pPr>
        <w:spacing w:after="160"/>
      </w:pPr>
    </w:p>
    <w:p>
      <w:r>
        <w:br w:type="page"/>
      </w:r>
    </w:p>
    <w:p>
      <w:pPr>
        <w:pStyle w:val="Heading1"/>
      </w:pPr>
      <w:r>
        <w:t xml:space="preserve">Appendix C — Audit log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23"/>
        <w:gridCol w:w="1685"/>
        <w:gridCol w:w="1217"/>
        <w:gridCol w:w="1123"/>
        <w:gridCol w:w="1123"/>
        <w:gridCol w:w="1217"/>
        <w:gridCol w:w="1872"/>
      </w:tblGrid>
      <w:tr>
        <w:trPr>
          <w:tblHeader/>
        </w:trPr>
        <w:tc>
          <w:tcPr>
            <w:tcW w:type="dxa" w:w="1123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0B203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Audit date</w:t>
            </w: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0B203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Provider</w:t>
            </w: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0B203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Records reviewed</w:t>
            </w:r>
          </w:p>
        </w:tc>
        <w:tc>
          <w:tcPr>
            <w:tcW w:type="dxa" w:w="1123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0B203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Errors</w:t>
            </w:r>
          </w:p>
        </w:tc>
        <w:tc>
          <w:tcPr>
            <w:tcW w:type="dxa" w:w="1123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0B203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Accuracy %</w:t>
            </w: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0B203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Overpayment?</w:t>
            </w:r>
          </w:p>
        </w:tc>
        <w:tc>
          <w:tcPr>
            <w:tcW w:type="dxa" w:w="187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0B203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Follow-up</w:t>
            </w:r>
          </w:p>
        </w:tc>
      </w:tr>
      <w:tr>
        <w:trPr>
          <w:trHeight w:val="400" w:hRule="atLeast"/>
        </w:trPr>
        <w:tc>
          <w:tcPr>
            <w:tcW w:type="dxa" w:w="1123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123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123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87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trHeight w:val="400" w:hRule="atLeast"/>
        </w:trPr>
        <w:tc>
          <w:tcPr>
            <w:tcW w:type="dxa" w:w="1123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123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123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87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trHeight w:val="400" w:hRule="atLeast"/>
        </w:trPr>
        <w:tc>
          <w:tcPr>
            <w:tcW w:type="dxa" w:w="1123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123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123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87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trHeight w:val="400" w:hRule="atLeast"/>
        </w:trPr>
        <w:tc>
          <w:tcPr>
            <w:tcW w:type="dxa" w:w="1123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123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123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87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trHeight w:val="400" w:hRule="atLeast"/>
        </w:trPr>
        <w:tc>
          <w:tcPr>
            <w:tcW w:type="dxa" w:w="1123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123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123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87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trHeight w:val="400" w:hRule="atLeast"/>
        </w:trPr>
        <w:tc>
          <w:tcPr>
            <w:tcW w:type="dxa" w:w="1123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123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123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87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trHeight w:val="400" w:hRule="atLeast"/>
        </w:trPr>
        <w:tc>
          <w:tcPr>
            <w:tcW w:type="dxa" w:w="1123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123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123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87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trHeight w:val="400" w:hRule="atLeast"/>
        </w:trPr>
        <w:tc>
          <w:tcPr>
            <w:tcW w:type="dxa" w:w="1123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123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123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87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trHeight w:val="400" w:hRule="atLeast"/>
        </w:trPr>
        <w:tc>
          <w:tcPr>
            <w:tcW w:type="dxa" w:w="1123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123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123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87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trHeight w:val="400" w:hRule="atLeast"/>
        </w:trPr>
        <w:tc>
          <w:tcPr>
            <w:tcW w:type="dxa" w:w="1123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123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123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87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trHeight w:val="400" w:hRule="atLeast"/>
        </w:trPr>
        <w:tc>
          <w:tcPr>
            <w:tcW w:type="dxa" w:w="1123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123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123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87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trHeight w:val="400" w:hRule="atLeast"/>
        </w:trPr>
        <w:tc>
          <w:tcPr>
            <w:tcW w:type="dxa" w:w="1123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685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123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123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87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</w:tbl>
    <w:p>
      <w:pPr>
        <w:spacing w:after="160"/>
      </w:pPr>
    </w:p>
    <w:p>
      <w:pPr>
        <w:pStyle w:val="Heading1"/>
      </w:pPr>
      <w:r>
        <w:t xml:space="preserve">Appendix D — Monthly exclusion screening log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30"/>
        <w:gridCol w:w="2340"/>
        <w:gridCol w:w="842"/>
        <w:gridCol w:w="842"/>
        <w:gridCol w:w="1498"/>
        <w:gridCol w:w="1310"/>
        <w:gridCol w:w="1498"/>
      </w:tblGrid>
      <w:tr>
        <w:trPr>
          <w:tblHeader/>
        </w:trPr>
        <w:tc>
          <w:tcPr>
            <w:tcW w:type="dxa" w:w="103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0B203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234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0B203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84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0B203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LEIE</w:t>
            </w:r>
          </w:p>
        </w:tc>
        <w:tc>
          <w:tcPr>
            <w:tcW w:type="dxa" w:w="84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0B203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SAM</w:t>
            </w:r>
          </w:p>
        </w:tc>
        <w:tc>
          <w:tcPr>
            <w:tcW w:type="dxa" w:w="149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0B203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Medicaid list</w:t>
            </w:r>
          </w:p>
        </w:tc>
        <w:tc>
          <w:tcPr>
            <w:tcW w:type="dxa" w:w="131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0B203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Result</w:t>
            </w:r>
          </w:p>
        </w:tc>
        <w:tc>
          <w:tcPr>
            <w:tcW w:type="dxa" w:w="149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0B203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Checked by</w:t>
            </w:r>
          </w:p>
        </w:tc>
      </w:tr>
      <w:tr>
        <w:trPr>
          <w:trHeight w:val="400" w:hRule="atLeast"/>
        </w:trPr>
        <w:tc>
          <w:tcPr>
            <w:tcW w:type="dxa" w:w="103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234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84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84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49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31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49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trHeight w:val="400" w:hRule="atLeast"/>
        </w:trPr>
        <w:tc>
          <w:tcPr>
            <w:tcW w:type="dxa" w:w="103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234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84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84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49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31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49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trHeight w:val="400" w:hRule="atLeast"/>
        </w:trPr>
        <w:tc>
          <w:tcPr>
            <w:tcW w:type="dxa" w:w="103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234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84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84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49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31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49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trHeight w:val="400" w:hRule="atLeast"/>
        </w:trPr>
        <w:tc>
          <w:tcPr>
            <w:tcW w:type="dxa" w:w="103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234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84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84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49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31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49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trHeight w:val="400" w:hRule="atLeast"/>
        </w:trPr>
        <w:tc>
          <w:tcPr>
            <w:tcW w:type="dxa" w:w="103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234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84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84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49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31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49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trHeight w:val="400" w:hRule="atLeast"/>
        </w:trPr>
        <w:tc>
          <w:tcPr>
            <w:tcW w:type="dxa" w:w="103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234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84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84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49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31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49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trHeight w:val="400" w:hRule="atLeast"/>
        </w:trPr>
        <w:tc>
          <w:tcPr>
            <w:tcW w:type="dxa" w:w="103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234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84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84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49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31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49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trHeight w:val="400" w:hRule="atLeast"/>
        </w:trPr>
        <w:tc>
          <w:tcPr>
            <w:tcW w:type="dxa" w:w="103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234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84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84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49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31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49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trHeight w:val="400" w:hRule="atLeast"/>
        </w:trPr>
        <w:tc>
          <w:tcPr>
            <w:tcW w:type="dxa" w:w="103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234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84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84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49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31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49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trHeight w:val="400" w:hRule="atLeast"/>
        </w:trPr>
        <w:tc>
          <w:tcPr>
            <w:tcW w:type="dxa" w:w="103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234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84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84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49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31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49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trHeight w:val="400" w:hRule="atLeast"/>
        </w:trPr>
        <w:tc>
          <w:tcPr>
            <w:tcW w:type="dxa" w:w="103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234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84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84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49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31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49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trHeight w:val="400" w:hRule="atLeast"/>
        </w:trPr>
        <w:tc>
          <w:tcPr>
            <w:tcW w:type="dxa" w:w="103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234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84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84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49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31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49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</w:tbl>
    <w:p>
      <w:pPr>
        <w:spacing w:after="160"/>
      </w:pPr>
    </w:p>
    <w:p>
      <w:r>
        <w:br w:type="page"/>
      </w:r>
    </w:p>
    <w:p>
      <w:pPr>
        <w:pStyle w:val="Heading1"/>
      </w:pPr>
      <w:r>
        <w:t xml:space="preserve">Appendix E — Compliance report and investigation form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82"/>
        <w:gridCol w:w="6178"/>
      </w:tblGrid>
      <w:tr>
        <w:tc>
          <w:tcPr>
            <w:tcW w:type="dxa" w:w="318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</w:rPr>
              <w:t xml:space="preserve">Date received</w:t>
            </w:r>
          </w:p>
        </w:tc>
        <w:tc>
          <w:tcPr>
            <w:tcW w:type="dxa" w:w="617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Date"/>
                <w:tag w:val="Date"/>
                <w:id w:val="1071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[Date]</w:t>
                </w:r>
              </w:sdtContent>
            </w:sdt>
          </w:p>
        </w:tc>
      </w:tr>
      <w:tr>
        <w:tc>
          <w:tcPr>
            <w:tcW w:type="dxa" w:w="318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</w:rPr>
              <w:t xml:space="preserve">Reported by</w:t>
            </w:r>
          </w:p>
        </w:tc>
        <w:tc>
          <w:tcPr>
            <w:tcW w:type="dxa" w:w="617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Name or &quot;anonymous&quot;"/>
                <w:tag w:val="Name_or_anonymous_"/>
                <w:id w:val="1072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[Name or "anonymous"]</w:t>
                </w:r>
              </w:sdtContent>
            </w:sdt>
          </w:p>
        </w:tc>
      </w:tr>
      <w:tr>
        <w:tc>
          <w:tcPr>
            <w:tcW w:type="dxa" w:w="318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</w:rPr>
              <w:t xml:space="preserve">What was reported</w:t>
            </w:r>
          </w:p>
        </w:tc>
        <w:tc>
          <w:tcPr>
            <w:tcW w:type="dxa" w:w="617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Summary — no more patient detail than needed"/>
                <w:tag w:val="Summary_no_more_patient_detail_than_needed"/>
                <w:id w:val="1073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[Summary — no more patient detail than needed]</w:t>
                </w:r>
              </w:sdtContent>
            </w:sdt>
          </w:p>
        </w:tc>
      </w:tr>
      <w:tr>
        <w:tc>
          <w:tcPr>
            <w:tcW w:type="dxa" w:w="318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</w:rPr>
              <w:t xml:space="preserve">Investigated by</w:t>
            </w:r>
          </w:p>
        </w:tc>
        <w:tc>
          <w:tcPr>
            <w:tcW w:type="dxa" w:w="617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Name"/>
                <w:tag w:val="Name"/>
                <w:id w:val="1074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[Name]</w:t>
                </w:r>
              </w:sdtContent>
            </w:sdt>
          </w:p>
        </w:tc>
      </w:tr>
      <w:tr>
        <w:tc>
          <w:tcPr>
            <w:tcW w:type="dxa" w:w="318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</w:rPr>
              <w:t xml:space="preserve">Records reviewed / people interviewed</w:t>
            </w:r>
          </w:p>
        </w:tc>
        <w:tc>
          <w:tcPr>
            <w:tcW w:type="dxa" w:w="617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List"/>
                <w:tag w:val="List"/>
                <w:id w:val="1075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[List]</w:t>
                </w:r>
              </w:sdtContent>
            </w:sdt>
          </w:p>
        </w:tc>
      </w:tr>
      <w:tr>
        <w:tc>
          <w:tcPr>
            <w:tcW w:type="dxa" w:w="318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</w:rPr>
              <w:t xml:space="preserve">Finding</w:t>
            </w:r>
          </w:p>
        </w:tc>
        <w:tc>
          <w:tcPr>
            <w:tcW w:type="dxa" w:w="617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Substantiated / not substantiated, and why"/>
                <w:tag w:val="Substantiated_not_substantiated_and_why"/>
                <w:id w:val="1076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[Substantiated / not substantiated, and why]</w:t>
                </w:r>
              </w:sdtContent>
            </w:sdt>
          </w:p>
        </w:tc>
      </w:tr>
      <w:tr>
        <w:tc>
          <w:tcPr>
            <w:tcW w:type="dxa" w:w="318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</w:rPr>
              <w:t xml:space="preserve">Overpayment?</w:t>
            </w:r>
          </w:p>
        </w:tc>
        <w:tc>
          <w:tcPr>
            <w:tcW w:type="dxa" w:w="617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Yes/No — amount, payer, date identified, date refunded"/>
                <w:tag w:val="Yes_No_amount_payer_date_identified_date_refunded"/>
                <w:id w:val="1077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[Yes/No — amount, payer, date identified, date refunded]</w:t>
                </w:r>
              </w:sdtContent>
            </w:sdt>
          </w:p>
        </w:tc>
      </w:tr>
      <w:tr>
        <w:tc>
          <w:tcPr>
            <w:tcW w:type="dxa" w:w="318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</w:rPr>
              <w:t xml:space="preserve">Corrective action</w:t>
            </w:r>
          </w:p>
        </w:tc>
        <w:tc>
          <w:tcPr>
            <w:tcW w:type="dxa" w:w="617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Training, template change, discipline"/>
                <w:tag w:val="Training_template_change_discipline"/>
                <w:id w:val="1078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[Training, template change, discipline]</w:t>
                </w:r>
              </w:sdtContent>
            </w:sdt>
          </w:p>
        </w:tc>
      </w:tr>
      <w:tr>
        <w:tc>
          <w:tcPr>
            <w:tcW w:type="dxa" w:w="318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</w:rPr>
              <w:t xml:space="preserve">Attorney or self-disclosure needed?</w:t>
            </w:r>
          </w:p>
        </w:tc>
        <w:tc>
          <w:tcPr>
            <w:tcW w:type="dxa" w:w="617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Yes/No — notes"/>
                <w:tag w:val="Yes_No_notes"/>
                <w:id w:val="1079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[Yes/No — notes]</w:t>
                </w:r>
              </w:sdtContent>
            </w:sdt>
          </w:p>
        </w:tc>
      </w:tr>
      <w:tr>
        <w:tc>
          <w:tcPr>
            <w:tcW w:type="dxa" w:w="318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</w:rPr>
              <w:t xml:space="preserve">Re-audit date and result</w:t>
            </w:r>
          </w:p>
        </w:tc>
        <w:tc>
          <w:tcPr>
            <w:tcW w:type="dxa" w:w="617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F6F1E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Date and result"/>
                <w:tag w:val="Date_and_result"/>
                <w:id w:val="1080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[Date and result]</w:t>
                </w:r>
              </w:sdtContent>
            </w:sdt>
          </w:p>
        </w:tc>
      </w:tr>
      <w:tr>
        <w:tc>
          <w:tcPr>
            <w:tcW w:type="dxa" w:w="318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</w:rPr>
              <w:t xml:space="preserve">Closed</w:t>
            </w:r>
          </w:p>
        </w:tc>
        <w:tc>
          <w:tcPr>
            <w:tcW w:type="dxa" w:w="6178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sdt>
              <w:sdtPr>
                <w:rPr>
                  <w:color w:val="0E6F69"/>
                  <w:shd w:fill="FFF4D6" w:color="auto" w:val="clear"/>
                </w:rPr>
                <w:alias w:val="Date"/>
                <w:tag w:val="Date"/>
                <w:id w:val="1081"/>
                <w:showingPlcHdr/>
                <w:text/>
              </w:sdtPr>
              <w:sdtContent>
                <w:r>
                  <w:rPr>
                    <w:color w:val="0E6F69"/>
                    <w:shd w:fill="FFF4D6" w:color="auto" w:val="clear"/>
                  </w:rPr>
                  <w:t xml:space="preserve">[Date]</w:t>
                </w:r>
              </w:sdtContent>
            </w:sdt>
          </w:p>
        </w:tc>
      </w:tr>
    </w:tbl>
    <w:p>
      <w:pPr>
        <w:spacing w:after="160"/>
      </w:pPr>
    </w:p>
    <w:p>
      <w:pPr>
        <w:pStyle w:val="Heading1"/>
      </w:pPr>
      <w:r>
        <w:t xml:space="preserve">Appendix F — Overpayment refund log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17"/>
        <w:gridCol w:w="1217"/>
        <w:gridCol w:w="1310"/>
        <w:gridCol w:w="1030"/>
        <w:gridCol w:w="1872"/>
        <w:gridCol w:w="1217"/>
        <w:gridCol w:w="1497"/>
      </w:tblGrid>
      <w:tr>
        <w:trPr>
          <w:tblHeader/>
        </w:trPr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0B203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Date identified</w:t>
            </w: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0B203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Payer</w:t>
            </w:r>
          </w:p>
        </w:tc>
        <w:tc>
          <w:tcPr>
            <w:tcW w:type="dxa" w:w="131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0B203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Claim #</w:t>
            </w:r>
          </w:p>
        </w:tc>
        <w:tc>
          <w:tcPr>
            <w:tcW w:type="dxa" w:w="103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0B203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  <w:tc>
          <w:tcPr>
            <w:tcW w:type="dxa" w:w="187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0B203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Reason</w:t>
            </w: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0B203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Refund sent</w:t>
            </w:r>
          </w:p>
        </w:tc>
        <w:tc>
          <w:tcPr>
            <w:tcW w:type="dxa" w:w="149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shd w:fill="0B203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60-day deadline</w:t>
            </w:r>
          </w:p>
        </w:tc>
      </w:tr>
      <w:tr>
        <w:trPr>
          <w:trHeight w:val="400" w:hRule="atLeast"/>
        </w:trPr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31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03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87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49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trHeight w:val="400" w:hRule="atLeast"/>
        </w:trPr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31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03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87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49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trHeight w:val="400" w:hRule="atLeast"/>
        </w:trPr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31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03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87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49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trHeight w:val="400" w:hRule="atLeast"/>
        </w:trPr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31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03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87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49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trHeight w:val="400" w:hRule="atLeast"/>
        </w:trPr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31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03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87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49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trHeight w:val="400" w:hRule="atLeast"/>
        </w:trPr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31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03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87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49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trHeight w:val="400" w:hRule="atLeast"/>
        </w:trPr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31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03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87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49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trHeight w:val="400" w:hRule="atLeast"/>
        </w:trPr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31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03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87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49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trHeight w:val="400" w:hRule="atLeast"/>
        </w:trPr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31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03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87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49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trHeight w:val="400" w:hRule="atLeast"/>
        </w:trPr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31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030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872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21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497"/>
            <w:tcBorders>
              <w:top w:val="single" w:color="E4DCCD" w:sz="4"/>
              <w:left w:val="single" w:color="E4DCCD" w:sz="4"/>
              <w:bottom w:val="single" w:color="E4DCCD" w:sz="4"/>
              <w:right w:val="single" w:color="E4DCC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</w:tbl>
    <w:p>
      <w:pPr>
        <w:spacing w:after="160"/>
      </w:pPr>
    </w:p>
    <w:sectPr>
      <w:headerReference w:type="default" r:id="rId7"/>
      <w:footerReference w:type="default" r:id="rId8"/>
      <w:footerReference w:type="first" r:id="rId9"/>
      <w:pgSz w:w="12240" w:h="15840" w:orient="portrait"/>
      <w:pgMar w:top="1300" w:right="1440" w:bottom="1300" w:left="1440" w:header="708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360"/>
      </w:tabs>
    </w:pPr>
    <w:r>
      <w:rPr>
        <w:color w:val="5D7380"/>
        <w:sz w:val="16"/>
        <w:szCs w:val="16"/>
      </w:rPr>
      <w:t xml:space="preserve">Compliance Program · Confidential · Template by ProCare Services LLC</w:t>
    </w:r>
    <w:r>
      <w:rPr>
        <w:color w:val="5D7380"/>
        <w:sz w:val="16"/>
        <w:szCs w:val="16"/>
      </w:rPr>
      <w:t xml:space="preserve">	Page </w:t>
    </w:r>
    <w:r>
      <w:rPr>
        <w:color w:val="5D73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D7380"/>
        <w:sz w:val="16"/>
        <w:szCs w:val="16"/>
      </w:rPr>
      <w:t xml:space="preserve">Practice Compliance Program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E38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40" w:before="360"/>
      <w:outlineLvl w:val="0"/>
    </w:pPr>
    <w:rPr>
      <w:rFonts w:ascii="Cambria" w:cs="Cambria" w:eastAsia="Cambria" w:hAnsi="Cambria"/>
      <w:b/>
      <w:bCs/>
      <w:color w:val="0B2031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after="100" w:before="240"/>
      <w:outlineLvl w:val="1"/>
    </w:pPr>
    <w:rPr>
      <w:rFonts w:ascii="Cambria" w:cs="Cambria" w:eastAsia="Cambria" w:hAnsi="Cambria"/>
      <w:b/>
      <w:bCs/>
      <w:color w:val="226965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80" w:before="180"/>
      <w:outlineLvl w:val="2"/>
    </w:pPr>
    <w:rPr>
      <w:rFonts w:ascii="Calibri" w:cs="Calibri" w:eastAsia="Calibri" w:hAnsi="Calibri"/>
      <w:b/>
      <w:bCs/>
      <w:color w:val="0B2031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Practice Compliance Program</dc:title>
  <dc:creator>ProCare Services LLC</dc:creator>
  <cp:lastModifiedBy>Un-named</cp:lastModifiedBy>
  <cp:revision>1</cp:revision>
  <dcterms:created xsi:type="dcterms:W3CDTF">2026-10-18T16:02:42.079Z</dcterms:created>
  <dcterms:modified xsi:type="dcterms:W3CDTF">2026-10-18T16:02:42.079Z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